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4786" w:type="dxa"/>
        <w:tblLook w:val="04A0" w:firstRow="1" w:lastRow="0" w:firstColumn="1" w:lastColumn="0" w:noHBand="0" w:noVBand="1"/>
      </w:tblPr>
      <w:tblGrid>
        <w:gridCol w:w="4568"/>
      </w:tblGrid>
      <w:tr w:rsidR="00842636" w:rsidRPr="00193E16" w:rsidTr="00842636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842636" w:rsidRPr="00193E16" w:rsidRDefault="000755A7" w:rsidP="000755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   ___.0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263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42636" w:rsidRPr="00193E16" w:rsidRDefault="00842636" w:rsidP="007E64EF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tabs>
          <w:tab w:val="left" w:pos="6508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МИНЕРАЛОВОДСКОГО МУНИЦИПАЛЬНОГО ОКРУГА СТАВРОПОЛЬСКОГО КРАЯ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ЭКОНОМИКИ»</w:t>
      </w:r>
    </w:p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84"/>
      </w:tblGrid>
      <w:tr w:rsidR="00193E16" w:rsidRPr="00193E16" w:rsidTr="007E64EF">
        <w:trPr>
          <w:trHeight w:val="51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Минераловодского муниципального округа 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экономики» (далее – Программа);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884" w:type="dxa"/>
          </w:tcPr>
          <w:p w:rsidR="009E6490" w:rsidRPr="00193E16" w:rsidRDefault="009E6490" w:rsidP="007E6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муниципального округа Ставропольского края (далее – управление экономического развития);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 Ставропольского 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края (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далее – отдел торговли)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55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884" w:type="dxa"/>
          </w:tcPr>
          <w:p w:rsidR="009E6490" w:rsidRPr="00193E16" w:rsidRDefault="00144C44" w:rsidP="00144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</w:t>
            </w:r>
          </w:p>
        </w:tc>
      </w:tr>
      <w:tr w:rsidR="00193E16" w:rsidRPr="00193E16" w:rsidTr="007E64EF">
        <w:trPr>
          <w:trHeight w:val="579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субъектов малого и среднего предпринимательства»;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туризма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«Улучшение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878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комфортных условий для ведения бизнеса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E6490" w:rsidRPr="00193E16" w:rsidRDefault="009E6490" w:rsidP="004F1683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содействие развитию индустрии туризма в Минераловодском муниципальном округе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экономического потенциала и формирование благоприятного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Индикаторы достижения целей Программы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численность занятых в сфере малого и среднего предпринимательства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, включая индивидуальных предпринимателей; 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количество туристов, посетивших Минераловодский муниципальный округ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увеличение объёма инвестиций в основной капитал.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2020 - 2026 годы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Программы может осуществляться за счет бюджетов различных уровней.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Программы составит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16395,34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Минераловодского 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D8545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129,11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200,00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139,23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9308D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EB7481" w:rsidRPr="00193E16" w:rsidRDefault="00EB7481" w:rsidP="00EB74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1189,50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202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год –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Прогнозируемое поступление средств бюджета Ставропольского края в бюджет Минераловодского 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0,00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</w:t>
            </w:r>
            <w:r w:rsidR="00A459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3 701,00 тыс. рублей;</w:t>
            </w:r>
          </w:p>
          <w:p w:rsidR="005807B1" w:rsidRPr="00193E16" w:rsidRDefault="005807B1" w:rsidP="005807B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10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700,00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10 700,00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193E16" w:rsidTr="007E64EF">
        <w:trPr>
          <w:trHeight w:val="4527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84" w:type="dxa"/>
          </w:tcPr>
          <w:p w:rsidR="009E6490" w:rsidRPr="00193E16" w:rsidRDefault="009E6490" w:rsidP="007457AE">
            <w:pPr>
              <w:keepNext/>
              <w:keepLines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24,8 процентов в 2018 году до </w:t>
            </w:r>
            <w:r w:rsidR="005142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в 202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численности занятых в сфере малого и среднего предпринимательства в Минераловодско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муниципальном округе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включая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индивидуальных предпринимателей с 9,4 тыс. человек в 2018 году до 9,85 тыс.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человек в 202</w:t>
            </w:r>
            <w:r w:rsidR="008D713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количества туристов, посетивших Минераловодский муниципальный округ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 50,0 тыс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чел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2018 году до 5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тысяч 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E67F41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>- увеличение объёма и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нвестиций в основной капитал до 1</w:t>
            </w:r>
            <w:r w:rsidR="00E67F4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Приоритеты и цели реализуемой в Минераловодском муниципальном округе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93E1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политики в сфере экономического развития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Минераловодского муниципального 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и показателей (индикаторов) их достижения в соответствии с: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Федеральным </w:t>
      </w:r>
      <w:hyperlink r:id="rId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концессионных соглашениях»;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стратегическом планировании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2012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601 «Об основных направлениях совершенствования системы государственного управления»;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4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2018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5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Северо-Кавказского федерального округа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30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 30 апреля 2022 г. № 1089-р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6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г. № 1083-р;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7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Российской Федерации на период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 20 сентября 2019 г. № 2129-р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- 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г. 2018 № 12);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стратегическом планировании в Ставропольском крае»;</w:t>
      </w:r>
      <w:bookmarkStart w:id="0" w:name="_GoBack"/>
      <w:bookmarkEnd w:id="0"/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«Об инновационной деятельности в Ставропольском крае»;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развитии и поддержке малого и среднего предпринимательства»;</w:t>
      </w:r>
    </w:p>
    <w:p w:rsidR="009E6490" w:rsidRPr="00193E16" w:rsidRDefault="009E6490" w:rsidP="007E64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социально-экономического развития Ставропольского края до 2035 года, утверждённой Законом Ставропольского края от 27 декабря 2019 г. № 110-кз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Ставропольском крае до 2030 года, утвержденной приказом министерства туризма и оздоровительных курортов Ставропольского края от 24 мая 2018 г. № 81/од;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Минераловодского городского округа на период до 203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193E16">
        <w:rPr>
          <w:rFonts w:ascii="Times New Roman" w:eastAsia="Calibri" w:hAnsi="Times New Roman" w:cs="Times New Roman"/>
          <w:sz w:val="28"/>
          <w:szCs w:val="28"/>
        </w:rPr>
        <w:t>Минераловодского городского округа от 2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6</w:t>
      </w:r>
      <w:r w:rsidRPr="00193E16">
        <w:rPr>
          <w:rFonts w:ascii="Times New Roman" w:eastAsia="Calibri" w:hAnsi="Times New Roman" w:cs="Times New Roman"/>
          <w:sz w:val="28"/>
          <w:szCs w:val="28"/>
        </w:rPr>
        <w:t>.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12</w:t>
      </w:r>
      <w:r w:rsidRPr="00193E16">
        <w:rPr>
          <w:rFonts w:ascii="Times New Roman" w:eastAsia="Calibri" w:hAnsi="Times New Roman" w:cs="Times New Roman"/>
          <w:sz w:val="28"/>
          <w:szCs w:val="28"/>
        </w:rPr>
        <w:t>.201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9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737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>- иными правовыми актами и документами стратегического планирования Ставропольского края и Минераловодского муниципального округа.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развития малого и среднего предпринимательства в Минераловодском муниципальном округе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средств для предоставления мер муниципальной поддержки субъектам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устранение административных барьеров, препятствующих развитию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благоприятной экономической среды для развития деятельности субъектов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в сфере развития санаторно-курортного и туристского комплексов Минераловодского муниципального округа 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относится: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развитие туристской инфраструктуры и формирование доступной и комфортной туристской среды;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продвижение туристского продукта Минераловодского муниципального 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на национальном рынке;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формирования благоприятных условий для привлечения инвестиций в экономику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 для привлечения инвестиций в реальный сектор экономики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по принципу «одного окна»;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ресурсов для реализации инвестиционных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развитие деловых контактов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 финансово-кредитными институтами;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единой информационной базы инвестиционных проектов, реализуемых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и развитие региональных индустриальных, агропромышленных, туристско-рекреационных и технологических парков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а также создание благоприятных административных, инфраструктурных и иных условий для ведения бизнеса резидентами указанных парков;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осуществление единой согласованной экономической политики повышения объема привлеченного внебюджетного финансирования в развитие объектов инфраструктуры, находящихся в муниципальной собственности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путем применения эффективных моделей проектов муниципального-частного партнерства;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взаимовыгодного сотрудничества публичного и частного партнерства, осуществляемого на основании соглашений о муниципально -частном партнерстве, направленных на реализацию задач социально-экономического развития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равных условий доступа частных партнеров к участию в проектах муниципального-частного партнерства.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Программы, целями Программы являются: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комфортных условий для ведения бизнеса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развитию индустрии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экономического потенциала и формирование благоприятного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E6490" w:rsidRPr="00193E16" w:rsidRDefault="00AE42C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субъектов малого и среднего предпринимательства»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(приведена в приложении 1 к Программе);</w:t>
      </w:r>
    </w:p>
    <w:p w:rsidR="009E6490" w:rsidRPr="00193E16" w:rsidRDefault="00AE42C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 к Программе);</w:t>
      </w:r>
    </w:p>
    <w:p w:rsidR="009E6490" w:rsidRPr="00193E16" w:rsidRDefault="00AE42C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6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3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3 к Программе).</w:t>
      </w:r>
    </w:p>
    <w:p w:rsidR="009E6490" w:rsidRPr="00193E16" w:rsidRDefault="00AE42C8" w:rsidP="009E6490">
      <w:pPr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индикаторах достижения целей муниципальной программы 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дпрограммы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C96295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значениях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приведены в приложении 4 к Программе.</w:t>
      </w:r>
    </w:p>
    <w:p w:rsidR="009E6490" w:rsidRPr="00193E16" w:rsidRDefault="00AE42C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8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 весовых коэффициентах, присвоенных целям Программы,</w:t>
      </w:r>
      <w:r w:rsidR="00C96295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задачам подпрограмм Программы, приведены в приложении 5 к Программе.</w:t>
      </w:r>
    </w:p>
    <w:p w:rsidR="009E6490" w:rsidRPr="00193E16" w:rsidRDefault="00AE42C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 Программы приведен в приложении 6 к Программе.</w:t>
      </w:r>
    </w:p>
    <w:p w:rsidR="004E6132" w:rsidRPr="00193E16" w:rsidRDefault="00AE42C8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0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Объемы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и источники финансового обеспечения Программы приведены в приложении 7 к Программе.</w:t>
      </w: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Приложение 1 к муниципальной программе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экономики»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57"/>
      <w:bookmarkEnd w:id="1"/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CF030F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РАЗВИТИЕ СУБЪЕКТОВ МАЛОГО И СРЕДНЕГО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F030F"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МУНИЦИПАЛЬНОГО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  <w:r w:rsidR="007457AE"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033C" w:rsidRPr="00193E16" w:rsidRDefault="007D033C" w:rsidP="007D03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7D033C" w:rsidRPr="00193E16" w:rsidRDefault="007D033C" w:rsidP="007D03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предпринимательства»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6694"/>
      </w:tblGrid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субъектов малого и среднего предпринимательства» муниципальной программы Минераловодского муниципального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отдел торговли)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предпринимательской активности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развитие потребительского рынка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создания условий для наиболее полного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торговли.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предпринимательства; 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обучающих мероприятиях;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число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в расчете на 10 тыс. человек населения;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перевод в электронный вид и предоставление муниципальной услуги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«Консультационно-информационные услуги по вопросам поддержки малого и среднего предпринимательства» в электронном виде;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обеспеченность населения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площадью торговых объектов на душу населения;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Минераловодского </w:t>
            </w:r>
            <w:r w:rsidR="00861DD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861DD4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193E16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2020 - 2026 годы</w:t>
            </w: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подпрограммы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1178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рублей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в том числе по источникам финансового обеспечения: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городского округа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F030F" w:rsidRPr="00193E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28,32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рублей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49,35 тыс. рублей; 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105,00 тыс. рублей;</w:t>
            </w:r>
          </w:p>
          <w:p w:rsidR="007D033C" w:rsidRPr="00193E16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 год – 73,97 тыс. рублей;</w:t>
            </w:r>
          </w:p>
          <w:p w:rsidR="007D033C" w:rsidRPr="00193E16" w:rsidRDefault="007D033C" w:rsidP="007D033C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 w:rsidR="00CF030F"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00,00 тыс. рублей; 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муниципального округа 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50,00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7D033C" w:rsidRPr="00193E16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7D033C" w:rsidRPr="00193E16" w:rsidRDefault="007D033C" w:rsidP="007D033C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прогнозируемое поступление средств в местный бюджет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– </w:t>
            </w:r>
            <w:r w:rsidRPr="00193E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0,00 тыс. руб.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результаты:</w:t>
            </w:r>
          </w:p>
        </w:tc>
        <w:tc>
          <w:tcPr>
            <w:tcW w:w="6694" w:type="dxa"/>
          </w:tcPr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 со 100 процентов в 2018 году до 10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 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принявших участие в обучающих мероприятиях со 100 процентов в 2018 году до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числа субъектов малого и среднего предпринимательства в Минераловодском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расчете на 10 тыс. человек населения, с 232,9 единицы в 2018 году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A363F9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590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 со 100 процентов в 2018 году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до 136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не менее </w:t>
            </w:r>
            <w:r w:rsidR="003201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 в 2026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перевод в электронный вид и предоставление муниципальной услуги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«Консультационно-информационные услуги по вопросам поддержки малого и среднего предпринимательства» в электронном виде в количестве, не менее 1 единицы 2021 году;</w:t>
            </w:r>
          </w:p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обеспеченности населения Минераловодского </w:t>
            </w:r>
            <w:r w:rsidR="00E26BAB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площадью торговых объектов на душу населения с 571,7 тыс. кв. метров в 2021 году до 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852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кв. метров в 2026 году;</w:t>
            </w:r>
          </w:p>
          <w:p w:rsidR="007D033C" w:rsidRPr="00193E16" w:rsidRDefault="007D033C" w:rsidP="00CB4827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количества подготовленных и размещенных в средствах массовой информации информа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ционных материалов по вопросам торговли, общественного питания и потребительской грамотности населения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Минераловодского </w:t>
            </w:r>
            <w:r w:rsidR="00861DD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861DD4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861DD4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со 115 процентов в 2021 году до 13</w:t>
            </w:r>
            <w:r w:rsidR="00CB4827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году.</w:t>
            </w:r>
          </w:p>
        </w:tc>
      </w:tr>
      <w:tr w:rsidR="007D033C" w:rsidRPr="00193E16" w:rsidTr="007D033C">
        <w:tc>
          <w:tcPr>
            <w:tcW w:w="2660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193E16" w:rsidRDefault="007D033C" w:rsidP="007D03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</w:t>
      </w:r>
    </w:p>
    <w:p w:rsidR="007D033C" w:rsidRPr="00193E16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:</w:t>
      </w:r>
    </w:p>
    <w:p w:rsidR="007D033C" w:rsidRPr="00193E16" w:rsidRDefault="007D033C" w:rsidP="007D033C">
      <w:pPr>
        <w:pStyle w:val="ConsPlusNormal"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Организация и проведение мероприятий для субъектов малого и среднего предпринимательства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проведение обучающих мероприятий для субъектов малого и среднего предпринимательства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округа,</w:t>
      </w:r>
      <w:r w:rsidRPr="00193E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принявших участие в обучающих мероприятиях</w:t>
      </w:r>
      <w:r w:rsidRPr="00193E16">
        <w:rPr>
          <w:rFonts w:ascii="Times New Roman" w:hAnsi="Times New Roman" w:cs="Times New Roman"/>
          <w:sz w:val="28"/>
          <w:szCs w:val="28"/>
        </w:rPr>
        <w:t xml:space="preserve">. В целях развития системы подготовки квалифицированных кадров в сфере малого и среднего предпринимательства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разработка, публикация информационных материалов и проведение акций, направленных на популяризацию предпринимательской деятельности и развитие субъектов малого и среднего предпринимательства.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увеличение </w:t>
      </w:r>
      <w:r w:rsidRPr="00193E16">
        <w:rPr>
          <w:rFonts w:ascii="Times New Roman" w:hAnsi="Times New Roman" w:cs="Times New Roman"/>
          <w:sz w:val="28"/>
          <w:szCs w:val="28"/>
        </w:rPr>
        <w:t xml:space="preserve">количества субъектов малого и среднего предпринимательства в Минераловодском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со 100 процентов в 2018 году </w:t>
      </w:r>
      <w:r w:rsidR="00CB4827" w:rsidRPr="00193E16">
        <w:rPr>
          <w:rFonts w:ascii="Times New Roman" w:hAnsi="Times New Roman" w:cs="Times New Roman"/>
          <w:sz w:val="28"/>
          <w:szCs w:val="28"/>
        </w:rPr>
        <w:t>до 108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процентов в 2026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предпринимательства со 100 процентов в 2018 году до </w:t>
      </w:r>
      <w:r w:rsidR="00CB4827" w:rsidRPr="00193E16">
        <w:rPr>
          <w:rFonts w:ascii="Times New Roman" w:eastAsia="Calibri" w:hAnsi="Times New Roman" w:cs="Times New Roman"/>
          <w:sz w:val="28"/>
          <w:szCs w:val="28"/>
        </w:rPr>
        <w:t>136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процентов в 2026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увеличение количества субъектов малого и среднего предпринимательства в Минераловодском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округе</w:t>
      </w:r>
      <w:r w:rsidR="00F84EBC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EBC" w:rsidRPr="00193E16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, принявших участие в обучающих мероприятиях со 100 процентов в 2018 году до </w:t>
      </w:r>
      <w:r w:rsidR="00CB4827" w:rsidRPr="00193E16">
        <w:rPr>
          <w:rFonts w:ascii="Times New Roman" w:eastAsia="Calibri" w:hAnsi="Times New Roman" w:cs="Times New Roman"/>
          <w:sz w:val="28"/>
          <w:szCs w:val="28"/>
        </w:rPr>
        <w:t>104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процентов в 2026 году.</w:t>
      </w:r>
    </w:p>
    <w:p w:rsidR="007D033C" w:rsidRPr="00193E16" w:rsidRDefault="007D033C" w:rsidP="00CB4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pStyle w:val="ConsPlusNormal"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Создание благоприятного бизнес-климата на территории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увеличить число субъектов малого и среднего предпринимательства в Минераловодском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округе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в расчете на 10 тыс. человек населения;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предоставление субсидий (грантов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сопровождению;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перевод в электронный вид и предоставление муниципальной услуги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>«Консультационно-информационные услуги по вопросам поддержки малого и среднего предпринимательства» в электронном виде в количестве;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увеличить число субъектов малого и среднего предпринимательства в Минераловодском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округе </w:t>
      </w:r>
      <w:r w:rsidR="007457AE" w:rsidRPr="00193E1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в расчете на 10 тыс. человек населения, с 232,9 единиц в 2018 году до </w:t>
      </w:r>
      <w:r w:rsidR="003201AB" w:rsidRPr="00193E16">
        <w:rPr>
          <w:rFonts w:ascii="Times New Roman" w:eastAsia="Calibri" w:hAnsi="Times New Roman" w:cs="Times New Roman"/>
          <w:sz w:val="28"/>
          <w:szCs w:val="28"/>
        </w:rPr>
        <w:t>590,5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единиц в 2026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</w:r>
      <w:r w:rsidR="00E26BAB" w:rsidRPr="00193E1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не менее</w:t>
      </w:r>
      <w:r w:rsidR="005807B1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01AB" w:rsidRPr="00193E16">
        <w:rPr>
          <w:rFonts w:ascii="Times New Roman" w:eastAsia="Calibri" w:hAnsi="Times New Roman" w:cs="Times New Roman"/>
          <w:sz w:val="28"/>
          <w:szCs w:val="28"/>
        </w:rPr>
        <w:t>2</w:t>
      </w:r>
      <w:r w:rsidR="005807B1" w:rsidRPr="00193E16">
        <w:rPr>
          <w:rFonts w:ascii="Times New Roman" w:eastAsia="Calibri" w:hAnsi="Times New Roman" w:cs="Times New Roman"/>
          <w:sz w:val="28"/>
          <w:szCs w:val="28"/>
        </w:rPr>
        <w:t xml:space="preserve"> единиц в 2026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перевод в электронный вид и предоставление муниципальной услуги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«Консультационно-информационные услуги по вопросам поддержки малого и среднего предпринимательства» в электронном виде в количестве, не менее 1 единицы 2021 году</w:t>
      </w:r>
      <w:r w:rsidRPr="00193E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планируется осуществить за счет средств местного бюджета.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61DD4" w:rsidRPr="00193E16" w:rsidRDefault="00861DD4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193E16">
        <w:rPr>
          <w:rFonts w:ascii="Times New Roman" w:hAnsi="Times New Roman" w:cs="Times New Roman"/>
          <w:sz w:val="28"/>
          <w:szCs w:val="28"/>
        </w:rPr>
        <w:t xml:space="preserve">. </w:t>
      </w:r>
      <w:r w:rsidRPr="00193E16">
        <w:rPr>
          <w:rFonts w:ascii="Times New Roman" w:hAnsi="Times New Roman" w:cs="Times New Roman"/>
          <w:b/>
          <w:sz w:val="28"/>
          <w:szCs w:val="28"/>
        </w:rPr>
        <w:t>Развитие инфраструктуры объектов потре</w:t>
      </w:r>
      <w:r w:rsidR="009A3BA4" w:rsidRPr="00193E16">
        <w:rPr>
          <w:rFonts w:ascii="Times New Roman" w:hAnsi="Times New Roman" w:cs="Times New Roman"/>
          <w:b/>
          <w:sz w:val="28"/>
          <w:szCs w:val="28"/>
        </w:rPr>
        <w:t>бительского рынка и сферы услуг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Оказание содействия и создание необходимых условий для развития товарных рынков, торговых организаций, создание условий для увеличения количества торговых мест и торговых площадей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Для этого необходимо оптимально разместить сети объектов потребительского рынка, обеспечивающего территориальную доступность товаров и услуг по всей территории округа.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увеличение обеспеченности населения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товарах.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обеспеченности населения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площадью торговых объектов на душу населения с 571,7 тыс. кв. метров в 2021 году </w:t>
      </w:r>
      <w:r w:rsidR="00CB4827" w:rsidRPr="00193E16">
        <w:rPr>
          <w:rFonts w:ascii="Times New Roman" w:hAnsi="Times New Roman" w:cs="Times New Roman"/>
          <w:sz w:val="28"/>
          <w:szCs w:val="28"/>
        </w:rPr>
        <w:t>до 85</w:t>
      </w:r>
      <w:r w:rsidRPr="00193E16">
        <w:rPr>
          <w:rFonts w:ascii="Times New Roman" w:hAnsi="Times New Roman" w:cs="Times New Roman"/>
          <w:sz w:val="28"/>
          <w:szCs w:val="28"/>
        </w:rPr>
        <w:t>2 тыс. кв. метров в 2026 году.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Данное мероприятие не требует финансового обеспечения.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(отдел торговли, бытового обслуживания и защиты прав потребителей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26BAB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4. Размещение в средствах массовой информации материалов по вопросам потребительской грамотности населения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Подготовка и размещение информационных материалов (в средствах массовой информации, в телекоммуникационной сети интернет), что позволит повысить уровень информированности и потребительской грамотности населения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по вопросам торговли и общественного питания, путем осуществления публикации в средствах массовой информации материалов о торговли, общественном питании и потребительской грамотности населении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Наиболее полное удовлетворение спроса жителей округа и гостей на приобретение в комфортных условиях качественных и безопасных потребительских товаров по доступным ценам в сочетании с формированием комфортной среды для ведения бизнеса производителями товаров и субъектами торговой деятельности.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</w:t>
      </w:r>
      <w:r w:rsidR="00F84EBC" w:rsidRPr="00193E16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со 115 процентов в 2021 </w:t>
      </w:r>
      <w:r w:rsidR="00CB4827" w:rsidRPr="00193E16">
        <w:rPr>
          <w:rFonts w:ascii="Times New Roman" w:hAnsi="Times New Roman" w:cs="Times New Roman"/>
          <w:sz w:val="28"/>
          <w:szCs w:val="28"/>
        </w:rPr>
        <w:t>году до 136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процентов в 2026 году.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Данное мероприятие не требует финансового обеспечения.</w:t>
      </w:r>
    </w:p>
    <w:p w:rsidR="007D033C" w:rsidRPr="00193E16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(отдел торговли, бытового обслуживания и защиты прав потребителей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AE42C8" w:rsidP="007D0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7D033C" w:rsidRPr="00193E1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033C" w:rsidRPr="00193E16" w:rsidSect="005B0B16">
          <w:headerReference w:type="default" r:id="rId32"/>
          <w:headerReference w:type="first" r:id="rId33"/>
          <w:pgSz w:w="11906" w:h="16838"/>
          <w:pgMar w:top="1134" w:right="851" w:bottom="851" w:left="1701" w:header="709" w:footer="709" w:gutter="0"/>
          <w:cols w:space="708"/>
          <w:titlePg/>
          <w:docGrid w:linePitch="381"/>
        </w:sectPr>
      </w:pPr>
    </w:p>
    <w:p w:rsidR="007D033C" w:rsidRPr="00193E16" w:rsidRDefault="007D033C" w:rsidP="007D033C">
      <w:pPr>
        <w:spacing w:after="0" w:line="240" w:lineRule="auto"/>
        <w:ind w:left="4111" w:right="-144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Приложение 2 к муниципальной программе Минераловодского муниципального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РАЗВИТИЕ ТУРИЗМА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В МИНЕРАЛОВОДСКОМ </w:t>
      </w:r>
    </w:p>
    <w:p w:rsidR="007D033C" w:rsidRPr="00193E16" w:rsidRDefault="00FF1835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МУНИЦИПАЛЬНОМ ОКРУГЕ СТАВРОПОЛЬСКОГО КРАЯ»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МУНИЦИПАЛЬНОМ ОКРУГА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193E16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туризма в Минераловодском </w:t>
      </w:r>
      <w:r w:rsidR="005B0B16" w:rsidRPr="00193E1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193E16">
        <w:rPr>
          <w:rFonts w:ascii="Times New Roman" w:hAnsi="Times New Roman" w:cs="Times New Roman"/>
          <w:sz w:val="28"/>
          <w:szCs w:val="28"/>
        </w:rPr>
        <w:t>округе</w:t>
      </w:r>
      <w:r w:rsidR="00F84EBC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7"/>
        <w:gridCol w:w="6157"/>
      </w:tblGrid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туризма в Минераловодском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144C44" w:rsidP="00144C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туристской индустрии и формирование положительного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как региона благоприятного для туризма;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rPr>
          <w:trHeight w:val="1288"/>
        </w:trPr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 количество изготовленных и установленных туристских знаков навигации на территории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изготовленной рекламно-полиграфической продукции, способствующей продвижению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</w:t>
            </w:r>
            <w:proofErr w:type="spellStart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Этнодеревня</w:t>
            </w:r>
            <w:proofErr w:type="spellEnd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«Ногайская»;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приобретение выставочного оборудования (палатка, павильон кар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>касный, шатёр, баннер, стенд, и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ое), способствующего продвижению имиджа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благоустроенных объектов курортной инфраструктуры.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202670" w:rsidRPr="00193E16" w:rsidRDefault="00202670" w:rsidP="005B0B1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5B0B16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14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 701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,80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финансового обеспечения: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– 161,30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39,90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50,00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 71,40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139,5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прогнозируемое поступление средств бюджета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в бюджет Минераловодского городского округа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3701,00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3 701,00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10700,00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10 700,00 тыс. рублей; </w:t>
            </w:r>
          </w:p>
          <w:p w:rsidR="007D033C" w:rsidRPr="00193E16" w:rsidRDefault="005B0B16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D033C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изготовленных и установленных туристских знаков навигации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не менее 20 ед</w:t>
            </w:r>
            <w:r w:rsidR="00144C4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иниц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годы;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с 1 ед. в 2018 году до 300 ед. в 2020 году;</w:t>
            </w:r>
          </w:p>
          <w:p w:rsidR="007D033C" w:rsidRPr="00193E16" w:rsidRDefault="007D033C" w:rsidP="005B0B16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 со 100 процентов в 2018 году до 13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к 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</w:t>
            </w:r>
            <w:proofErr w:type="spellStart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Этнодеревня</w:t>
            </w:r>
            <w:proofErr w:type="spellEnd"/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«Ногайская» в количестве 1 ед. в 2021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приобретённое выставочное оборудование (палатка, павильон каркасный, шатёр, баннер, стенд, иное), способствующее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, не менее 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реконструкция и благоустройство одного объекта курортной инфраструктуры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2024 году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lastRenderedPageBreak/>
        <w:t>Раздел 1. Характеристика основных мероприятий Подпрограммы</w:t>
      </w:r>
    </w:p>
    <w:p w:rsidR="007D033C" w:rsidRPr="00193E16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1.Содействие развитию туристской индустрии в Минераловодском городском округе</w:t>
      </w:r>
      <w:r w:rsidR="002D16C7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1.1) изготовление и установка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 1.2) изготовление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;</w:t>
      </w:r>
    </w:p>
    <w:p w:rsidR="007D033C" w:rsidRPr="00193E16" w:rsidRDefault="007D033C" w:rsidP="005B0B1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1.3) разработка проекта «</w:t>
      </w:r>
      <w:proofErr w:type="spellStart"/>
      <w:r w:rsidRPr="00193E16">
        <w:rPr>
          <w:rFonts w:ascii="Times New Roman" w:hAnsi="Times New Roman" w:cs="Times New Roman"/>
          <w:sz w:val="28"/>
          <w:szCs w:val="28"/>
        </w:rPr>
        <w:t>Этнодеревня</w:t>
      </w:r>
      <w:proofErr w:type="spellEnd"/>
      <w:r w:rsidRPr="00193E16">
        <w:rPr>
          <w:rFonts w:ascii="Times New Roman" w:hAnsi="Times New Roman" w:cs="Times New Roman"/>
          <w:sz w:val="28"/>
          <w:szCs w:val="28"/>
        </w:rPr>
        <w:t xml:space="preserve"> «Ногайская»;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1.4.) приобретение выставочного оборудования (палатка, шатёр, баннер, стенд и иное), способствующего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93E16">
        <w:rPr>
          <w:rFonts w:ascii="Times New Roman" w:hAnsi="Times New Roman" w:cs="Times New Roman"/>
          <w:sz w:val="28"/>
          <w:szCs w:val="28"/>
        </w:rPr>
        <w:t>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п.1.1. - п. 1.4. основного мероприятия 1. Подпрограммы осуществляется путем проведения закупок на предмет изготовления и установки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и разработки и изготовления рекламно-полиграфической, сувенирной и представительской продукции, способствующей продвижению имиджа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193E16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193E1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изготовленных и установленных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, не менее 20 ед. за 2020 </w:t>
      </w:r>
      <w:r w:rsidRPr="00193E16">
        <w:rPr>
          <w:rFonts w:ascii="Times New Roman" w:hAnsi="Times New Roman" w:cs="Times New Roman"/>
          <w:sz w:val="28"/>
          <w:szCs w:val="28"/>
        </w:rPr>
        <w:t>-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>202</w:t>
      </w:r>
      <w:r w:rsidR="00FF1835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с 1 ед. в 2018 году до 300 ед. в 2020 году;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разработанный проект «</w:t>
      </w:r>
      <w:proofErr w:type="spellStart"/>
      <w:r w:rsidRPr="00193E16">
        <w:rPr>
          <w:rFonts w:ascii="Times New Roman" w:hAnsi="Times New Roman" w:cs="Times New Roman"/>
          <w:sz w:val="28"/>
          <w:szCs w:val="28"/>
        </w:rPr>
        <w:t>Этнодеревня</w:t>
      </w:r>
      <w:proofErr w:type="spellEnd"/>
      <w:r w:rsidRPr="00193E16">
        <w:rPr>
          <w:rFonts w:ascii="Times New Roman" w:hAnsi="Times New Roman" w:cs="Times New Roman"/>
          <w:sz w:val="28"/>
          <w:szCs w:val="28"/>
        </w:rPr>
        <w:t xml:space="preserve"> «Ногайская» в количестве 1 ед. в 2021 году;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приобретённое выставочное оборудование (шатёр, баннер, стенд и иное), способствующее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не менее 1</w:t>
      </w:r>
      <w:r w:rsidR="00FF1835" w:rsidRPr="00193E16">
        <w:rPr>
          <w:rFonts w:ascii="Times New Roman" w:hAnsi="Times New Roman" w:cs="Times New Roman"/>
          <w:sz w:val="28"/>
          <w:szCs w:val="28"/>
        </w:rPr>
        <w:t>2</w:t>
      </w:r>
      <w:r w:rsidRPr="00193E16">
        <w:rPr>
          <w:rFonts w:ascii="Times New Roman" w:hAnsi="Times New Roman" w:cs="Times New Roman"/>
          <w:sz w:val="28"/>
          <w:szCs w:val="28"/>
        </w:rPr>
        <w:t xml:space="preserve"> ед. </w:t>
      </w:r>
      <w:r w:rsidR="00FF1835" w:rsidRPr="00193E16">
        <w:rPr>
          <w:rFonts w:ascii="Times New Roman" w:hAnsi="Times New Roman" w:cs="Times New Roman"/>
          <w:sz w:val="28"/>
          <w:szCs w:val="28"/>
        </w:rPr>
        <w:t>к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</w:t>
      </w:r>
      <w:r w:rsidR="00FF1835" w:rsidRPr="00193E16">
        <w:rPr>
          <w:rFonts w:ascii="Times New Roman" w:hAnsi="Times New Roman" w:cs="Times New Roman"/>
          <w:sz w:val="28"/>
          <w:szCs w:val="28"/>
        </w:rPr>
        <w:t>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FF1835" w:rsidRPr="00193E16" w:rsidRDefault="00FF1835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реконструкция и благоустройство одного объекта курортной инфраструктуры на территории Минераловодского муниципального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2024 году.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193E16" w:rsidRDefault="007D033C" w:rsidP="007D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2. Формирование положительного имиджа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b/>
          <w:sz w:val="28"/>
          <w:szCs w:val="28"/>
        </w:rPr>
        <w:t>, как рег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иона благоприятного для туризма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FF18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количества организаций санаторно-курортного и туристского комплексов Минераловодского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организаций санаторно-курортного и туристского комплексов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 со 100 процентов в 2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018 году </w:t>
      </w:r>
      <w:r w:rsidR="00202670" w:rsidRPr="00193E16">
        <w:rPr>
          <w:rFonts w:ascii="Times New Roman" w:hAnsi="Times New Roman" w:cs="Times New Roman"/>
          <w:sz w:val="28"/>
          <w:szCs w:val="28"/>
        </w:rPr>
        <w:t>до 136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 процентов к 2026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193E16" w:rsidRDefault="007D033C" w:rsidP="00202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Финансового обеспечения указанных мероприятий не требуется.</w:t>
      </w:r>
    </w:p>
    <w:p w:rsidR="007D033C" w:rsidRPr="00193E16" w:rsidRDefault="00AE42C8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7D033C" w:rsidRPr="00193E1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B2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3. Модерн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изация курортной инфраструктуры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Подпрограммы предполагается реконструкция и благоустройство сквера «Собор Покрова Пресвятой Богородицы» г. Минеральные Воды. Благоустройство сквера </w:t>
      </w:r>
      <w:r w:rsidR="009A3BA4" w:rsidRPr="00193E16">
        <w:rPr>
          <w:rFonts w:ascii="Times New Roman" w:hAnsi="Times New Roman" w:cs="Times New Roman"/>
          <w:sz w:val="28"/>
          <w:szCs w:val="28"/>
        </w:rPr>
        <w:t>в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2024 году позволит сформировать и улучшить доступную и комфортную туристическую среду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144C44" w:rsidRPr="00193E16">
        <w:rPr>
          <w:rFonts w:ascii="Times New Roman" w:hAnsi="Times New Roman" w:cs="Times New Roman"/>
          <w:sz w:val="28"/>
          <w:szCs w:val="28"/>
        </w:rPr>
        <w:t xml:space="preserve"> администрация Минераловодского муниципального округа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  <w:sectPr w:rsidR="007D033C" w:rsidRPr="00193E16" w:rsidSect="005B0B16">
          <w:pgSz w:w="11906" w:h="16838"/>
          <w:pgMar w:top="1134" w:right="851" w:bottom="851" w:left="1701" w:header="709" w:footer="709" w:gutter="0"/>
          <w:cols w:space="708"/>
          <w:titlePg/>
          <w:docGrid w:linePitch="381"/>
        </w:sectPr>
      </w:pPr>
    </w:p>
    <w:p w:rsidR="007D033C" w:rsidRPr="00193E16" w:rsidRDefault="007D033C" w:rsidP="001B7ED3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7D033C" w:rsidRPr="00193E16" w:rsidRDefault="007D033C" w:rsidP="001B7ED3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«УЛУЧШЕНИЕ ИНВЕСТИЦИОННОГО КЛИМАТА В МИНЕРАЛОВОДСКОМ 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МУНИЦИПЛЬНОМ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="001B7ED3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ED3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» 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ED3" w:rsidRPr="00193E16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1B7ED3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="001B7ED3" w:rsidRPr="00193E16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Pr="00193E16">
        <w:rPr>
          <w:rFonts w:ascii="Times New Roman" w:hAnsi="Times New Roman" w:cs="Times New Roman"/>
          <w:b/>
          <w:sz w:val="28"/>
          <w:szCs w:val="28"/>
        </w:rPr>
        <w:t>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193E16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«Улучшение инвестиционного климата в Минераловодском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="007B2DF4" w:rsidRPr="00193E16">
        <w:rPr>
          <w:rFonts w:ascii="Times New Roman" w:hAnsi="Times New Roman" w:cs="Times New Roman"/>
          <w:sz w:val="28"/>
          <w:szCs w:val="28"/>
        </w:rPr>
        <w:t>муниципальн</w:t>
      </w:r>
      <w:r w:rsidRPr="00193E16">
        <w:rPr>
          <w:rFonts w:ascii="Times New Roman" w:hAnsi="Times New Roman" w:cs="Times New Roman"/>
          <w:sz w:val="28"/>
          <w:szCs w:val="28"/>
        </w:rPr>
        <w:t>ом округе</w:t>
      </w:r>
      <w:r w:rsidR="001B7ED3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»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78"/>
        <w:gridCol w:w="6177"/>
      </w:tblGrid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«Улучшение инвестиционного климата в Минераловодском 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1B7ED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331" w:type="dxa"/>
          </w:tcPr>
          <w:p w:rsidR="007D033C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предусмотрено </w:t>
            </w:r>
          </w:p>
          <w:p w:rsidR="001B7ED3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ED3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положительного имиджа и продвижение инвестиционного потенциала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объем инвестиций в основный капитал (за исключением бюджетных средств) в расчете на 1 жителя; 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индекс физического объема инвестиций в основной капитал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2DF4" w:rsidRPr="00193E16" w:rsidRDefault="007B2DF4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количество инвестиционных проектов, реализованных и реализуемых на территории Минераловодского муниципального округа Ставропольского края</w:t>
            </w:r>
          </w:p>
        </w:tc>
      </w:tr>
      <w:tr w:rsidR="00193E16" w:rsidRPr="00193E16" w:rsidTr="005B0B16">
        <w:tc>
          <w:tcPr>
            <w:tcW w:w="3239" w:type="dxa"/>
          </w:tcPr>
          <w:p w:rsidR="00F84EBC" w:rsidRPr="00193E16" w:rsidRDefault="00F84EB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F84EBC" w:rsidRPr="00193E16" w:rsidRDefault="00F84EBC" w:rsidP="001B7E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1B7ED3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2020-202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 тыс. рублей, в том числе по источникам финансового обеспечения: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– 3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 тыс. рублей, в том числе по годам: 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 год – 39,86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45,00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65,26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7B2DF4" w:rsidRPr="00193E16">
              <w:rPr>
                <w:rFonts w:ascii="Times New Roman" w:hAnsi="Times New Roman" w:cs="Times New Roman"/>
                <w:sz w:val="28"/>
                <w:szCs w:val="28"/>
              </w:rPr>
              <w:t>65,10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7ED3" w:rsidRPr="00193E16" w:rsidRDefault="001B7ED3" w:rsidP="001B7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муниципального округа Ставропольского края –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</w:t>
            </w:r>
            <w:r w:rsidR="001B7ED3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7ED3" w:rsidRPr="00193E16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прогнозируемое поступление средств в местный бюджет – 0,00 тыс. рублей;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– 0,00 тыс. руб.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239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результаты:</w:t>
            </w:r>
          </w:p>
        </w:tc>
        <w:tc>
          <w:tcPr>
            <w:tcW w:w="6331" w:type="dxa"/>
          </w:tcPr>
          <w:p w:rsidR="007D033C" w:rsidRPr="00193E16" w:rsidRDefault="007D033C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объема инвестиций в основной капитал (за исключением бюджетных средств) в расчете на 1 жителя до </w:t>
            </w:r>
            <w:r w:rsidR="00E67F41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30 0</w:t>
            </w:r>
            <w:r w:rsidR="00F9531C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в 202</w:t>
            </w:r>
            <w:r w:rsidR="001B7ED3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индекса физического объема инвестиций в основной капитал до </w:t>
            </w:r>
            <w:r w:rsidR="00F9531C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100,3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</w:t>
            </w:r>
            <w:r w:rsidR="001B7ED3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 w:rsidR="004D40E3"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D40E3" w:rsidRPr="00193E16" w:rsidRDefault="004D40E3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количества инвестиционных проектов, реализованных и реализуемых на территории Минераловодского муниципального округа Ставропольского края до 9 единиц в 2026 году</w:t>
            </w:r>
          </w:p>
          <w:p w:rsidR="007D033C" w:rsidRPr="00193E16" w:rsidRDefault="007D033C" w:rsidP="007D0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33C" w:rsidRPr="00193E16" w:rsidRDefault="007D033C" w:rsidP="001B7E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lastRenderedPageBreak/>
        <w:t>Раздел 1. Характеристика основных мероприятий Подпрограммы</w:t>
      </w:r>
    </w:p>
    <w:p w:rsidR="007D033C" w:rsidRPr="00193E16" w:rsidRDefault="007D033C" w:rsidP="001B7E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Решение задач Подпрограммы обеспечиваются путем выполнения комплекса взаимосвязанных по срокам, ресурсам, исполнителям следующих основных мероприятий Подпрограммы:</w:t>
      </w:r>
    </w:p>
    <w:p w:rsidR="007D033C" w:rsidRPr="00193E16" w:rsidRDefault="007D033C" w:rsidP="009A3BA4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Формирование благопр</w:t>
      </w:r>
      <w:r w:rsidR="004D40E3" w:rsidRPr="00193E16">
        <w:rPr>
          <w:rFonts w:ascii="Times New Roman" w:hAnsi="Times New Roman" w:cs="Times New Roman"/>
          <w:b/>
          <w:sz w:val="28"/>
          <w:szCs w:val="28"/>
        </w:rPr>
        <w:t>иятного инвестиционного климата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выполнить на период до 2022 года:</w:t>
      </w:r>
    </w:p>
    <w:p w:rsidR="007D033C" w:rsidRPr="00193E16" w:rsidRDefault="007D033C" w:rsidP="001B7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услуги по разработке и изготовлению информационных материалов (сувенирной и полиграфической продукции) инвестиционной направленности.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осуществляется путем проведения закупок на предмет разработки и изготовления информационных материалов (сувенирной и полиграфической продукции) инвестиционной направленности способствующей формированию благоприятного инвестиционного климата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 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указанного мероприятия планируется осуществить за счет средств местного бюджета.</w:t>
      </w:r>
    </w:p>
    <w:p w:rsidR="007D033C" w:rsidRPr="00193E16" w:rsidRDefault="007D033C" w:rsidP="001B7ED3">
      <w:pPr>
        <w:tabs>
          <w:tab w:val="left" w:pos="48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период с 2023 по 202</w:t>
      </w:r>
      <w:r w:rsidR="001B7ED3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годы в рамках данного основного мероприятия Подпрограммы предполагается выполнить: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проведение и участие в </w:t>
      </w:r>
      <w:proofErr w:type="spellStart"/>
      <w:r w:rsidRPr="00193E16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193E16">
        <w:rPr>
          <w:rFonts w:ascii="Times New Roman" w:hAnsi="Times New Roman" w:cs="Times New Roman"/>
          <w:sz w:val="28"/>
          <w:szCs w:val="28"/>
        </w:rPr>
        <w:t>, форумах, конференциях, семинарах, ярмарках, выставках, презентациях инвестиционной направленности.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обеспечить:</w:t>
      </w:r>
    </w:p>
    <w:p w:rsidR="007D033C" w:rsidRPr="00193E16" w:rsidRDefault="007D033C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увеличение объема инвестиций в </w:t>
      </w:r>
      <w:r w:rsidRPr="00193E16">
        <w:rPr>
          <w:rFonts w:ascii="Times New Roman" w:hAnsi="Times New Roman" w:cs="Times New Roman"/>
          <w:sz w:val="28"/>
          <w:szCs w:val="28"/>
        </w:rPr>
        <w:t xml:space="preserve">основной капитал (за исключением бюджетных средств) в расчете на 1 жителя до </w:t>
      </w:r>
      <w:r w:rsidR="00F9531C" w:rsidRPr="00193E16">
        <w:rPr>
          <w:rFonts w:ascii="Times New Roman" w:hAnsi="Times New Roman" w:cs="Times New Roman"/>
          <w:sz w:val="28"/>
          <w:szCs w:val="28"/>
        </w:rPr>
        <w:t>30</w:t>
      </w:r>
      <w:r w:rsidR="00144C44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="00F9531C" w:rsidRPr="00193E16">
        <w:rPr>
          <w:rFonts w:ascii="Times New Roman" w:hAnsi="Times New Roman" w:cs="Times New Roman"/>
          <w:sz w:val="28"/>
          <w:szCs w:val="28"/>
        </w:rPr>
        <w:t>000</w:t>
      </w:r>
      <w:r w:rsidRPr="00193E16">
        <w:rPr>
          <w:rFonts w:ascii="Times New Roman" w:hAnsi="Times New Roman" w:cs="Times New Roman"/>
          <w:sz w:val="28"/>
          <w:szCs w:val="28"/>
        </w:rPr>
        <w:t xml:space="preserve"> рублей в 202</w:t>
      </w:r>
      <w:r w:rsidR="001B7ED3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</w:t>
      </w:r>
      <w:r w:rsidR="00E67F41" w:rsidRPr="00193E16">
        <w:rPr>
          <w:rFonts w:ascii="Times New Roman" w:hAnsi="Times New Roman" w:cs="Times New Roman"/>
          <w:sz w:val="28"/>
          <w:szCs w:val="28"/>
        </w:rPr>
        <w:t>;</w:t>
      </w:r>
    </w:p>
    <w:p w:rsidR="00E67F41" w:rsidRPr="00193E16" w:rsidRDefault="00E67F41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увеличение количества инвестиционных проектов.</w:t>
      </w:r>
    </w:p>
    <w:p w:rsidR="007D033C" w:rsidRPr="00193E16" w:rsidRDefault="007D033C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Финансирование из бюджета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не требуется. 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9A3BA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2. Продвижение и </w:t>
      </w:r>
      <w:r w:rsidR="009A3BA4" w:rsidRPr="00193E16">
        <w:rPr>
          <w:rFonts w:ascii="Times New Roman" w:hAnsi="Times New Roman" w:cs="Times New Roman"/>
          <w:b/>
          <w:sz w:val="28"/>
          <w:szCs w:val="28"/>
        </w:rPr>
        <w:t>создание инвестиционного имиджа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выполнить на период до 2022 года: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проведение и участие в </w:t>
      </w:r>
      <w:proofErr w:type="spellStart"/>
      <w:r w:rsidRPr="00193E16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193E16">
        <w:rPr>
          <w:rFonts w:ascii="Times New Roman" w:hAnsi="Times New Roman" w:cs="Times New Roman"/>
          <w:sz w:val="28"/>
          <w:szCs w:val="28"/>
        </w:rPr>
        <w:t>, форумах, конференциях, семинарах, ярмарках, выставках, презентациях инвестиционной направленности.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Финансирование из бюджета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не требуется. </w:t>
      </w:r>
    </w:p>
    <w:p w:rsidR="007D033C" w:rsidRPr="00193E16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В период с 2023 по 2025 годы в рамках данного основного мероприятия Подпрограммы предполагается выполнить:</w:t>
      </w:r>
    </w:p>
    <w:p w:rsidR="007D033C" w:rsidRPr="00193E16" w:rsidRDefault="007D033C" w:rsidP="001B7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услуги по разработке и изготовлению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иное.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осуществляется путем проведения закупок на предмет разработки и изготовления информационных материалов (сувенирной и полиграфической продукции) инвестиционной направленности способствующей формированию благоприятного инвестиционного климата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 </w:t>
      </w:r>
    </w:p>
    <w:p w:rsidR="007D033C" w:rsidRPr="00193E16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обеспечить:</w:t>
      </w:r>
    </w:p>
    <w:p w:rsidR="007D033C" w:rsidRPr="00193E16" w:rsidRDefault="007D033C" w:rsidP="001B7ED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увеличение индекса физического объема инвестиций в основной капитал до 100,</w:t>
      </w:r>
      <w:r w:rsidR="00144C44" w:rsidRPr="00193E16">
        <w:rPr>
          <w:rFonts w:ascii="Times New Roman" w:hAnsi="Times New Roman" w:cs="Times New Roman"/>
          <w:sz w:val="28"/>
          <w:szCs w:val="28"/>
        </w:rPr>
        <w:t>3</w:t>
      </w:r>
      <w:r w:rsidRPr="00193E16">
        <w:rPr>
          <w:rFonts w:ascii="Times New Roman" w:hAnsi="Times New Roman" w:cs="Times New Roman"/>
          <w:sz w:val="28"/>
          <w:szCs w:val="28"/>
        </w:rPr>
        <w:t xml:space="preserve"> процентов в 202</w:t>
      </w:r>
      <w:r w:rsidR="00144C44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193E16" w:rsidRDefault="007D033C" w:rsidP="001B7ED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193E16" w:rsidRDefault="00AE42C8" w:rsidP="001B7E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7D033C" w:rsidRPr="00193E1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193E16" w:rsidRDefault="007D033C" w:rsidP="001B7ED3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7D033C" w:rsidRPr="00193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2C8" w:rsidRDefault="00AE42C8" w:rsidP="00144C44">
      <w:pPr>
        <w:spacing w:after="0" w:line="240" w:lineRule="auto"/>
      </w:pPr>
      <w:r>
        <w:separator/>
      </w:r>
    </w:p>
  </w:endnote>
  <w:endnote w:type="continuationSeparator" w:id="0">
    <w:p w:rsidR="00AE42C8" w:rsidRDefault="00AE42C8" w:rsidP="0014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2C8" w:rsidRDefault="00AE42C8" w:rsidP="00144C44">
      <w:pPr>
        <w:spacing w:after="0" w:line="240" w:lineRule="auto"/>
      </w:pPr>
      <w:r>
        <w:separator/>
      </w:r>
    </w:p>
  </w:footnote>
  <w:footnote w:type="continuationSeparator" w:id="0">
    <w:p w:rsidR="00AE42C8" w:rsidRDefault="00AE42C8" w:rsidP="0014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7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53BB" w:rsidRPr="00EA53BB" w:rsidRDefault="00EA53B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53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53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3E1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4C44" w:rsidRDefault="00144C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159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4C44" w:rsidRPr="00144C44" w:rsidRDefault="00AE42C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44C44" w:rsidRDefault="00144C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C65D1"/>
    <w:multiLevelType w:val="hybridMultilevel"/>
    <w:tmpl w:val="FE3A93E2"/>
    <w:lvl w:ilvl="0" w:tplc="B366E3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C3"/>
    <w:rsid w:val="00031458"/>
    <w:rsid w:val="00070CBD"/>
    <w:rsid w:val="000755A7"/>
    <w:rsid w:val="000D1E4F"/>
    <w:rsid w:val="00144C44"/>
    <w:rsid w:val="00193E16"/>
    <w:rsid w:val="001B7ED3"/>
    <w:rsid w:val="00202670"/>
    <w:rsid w:val="00231C19"/>
    <w:rsid w:val="0026201F"/>
    <w:rsid w:val="002D16C7"/>
    <w:rsid w:val="003201AB"/>
    <w:rsid w:val="00355815"/>
    <w:rsid w:val="003A43F2"/>
    <w:rsid w:val="00472773"/>
    <w:rsid w:val="004D40E3"/>
    <w:rsid w:val="004E6132"/>
    <w:rsid w:val="004F1683"/>
    <w:rsid w:val="00514286"/>
    <w:rsid w:val="00515943"/>
    <w:rsid w:val="005807B1"/>
    <w:rsid w:val="005B0B16"/>
    <w:rsid w:val="005B3884"/>
    <w:rsid w:val="007457AE"/>
    <w:rsid w:val="007678F7"/>
    <w:rsid w:val="007B2DF4"/>
    <w:rsid w:val="007D033C"/>
    <w:rsid w:val="007E64EF"/>
    <w:rsid w:val="00806857"/>
    <w:rsid w:val="00842636"/>
    <w:rsid w:val="00861DD4"/>
    <w:rsid w:val="00880947"/>
    <w:rsid w:val="0089308D"/>
    <w:rsid w:val="008B77F1"/>
    <w:rsid w:val="008D7136"/>
    <w:rsid w:val="009A3BA4"/>
    <w:rsid w:val="009E45F5"/>
    <w:rsid w:val="009E6490"/>
    <w:rsid w:val="00A363F9"/>
    <w:rsid w:val="00A45986"/>
    <w:rsid w:val="00AE42C8"/>
    <w:rsid w:val="00AE709B"/>
    <w:rsid w:val="00B46FCE"/>
    <w:rsid w:val="00C175CA"/>
    <w:rsid w:val="00C96295"/>
    <w:rsid w:val="00CB4827"/>
    <w:rsid w:val="00CE3822"/>
    <w:rsid w:val="00CF030F"/>
    <w:rsid w:val="00D85453"/>
    <w:rsid w:val="00E26BAB"/>
    <w:rsid w:val="00E67F41"/>
    <w:rsid w:val="00E82EC3"/>
    <w:rsid w:val="00EA45AB"/>
    <w:rsid w:val="00EA53BB"/>
    <w:rsid w:val="00EB7481"/>
    <w:rsid w:val="00F84EBC"/>
    <w:rsid w:val="00F9531C"/>
    <w:rsid w:val="00FD1032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7B982A-1FA1-43DD-8C40-265DDFA7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64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64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4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D03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03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03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42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A3B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4C44"/>
  </w:style>
  <w:style w:type="paragraph" w:styleId="a9">
    <w:name w:val="footer"/>
    <w:basedOn w:val="a"/>
    <w:link w:val="aa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C2FB5C9BCAD348CBFE637133A2621E78C3A9D126377AE86C7E0A08B0F483DF784C66E269VBO" TargetMode="External"/><Relationship Id="rId13" Type="http://schemas.openxmlformats.org/officeDocument/2006/relationships/hyperlink" Target="consultantplus://offline/ref=7806DED30A655E80A056C2FB5C9BCAD34AC8F363743CA2621E78C3A9D126377AE86C7E0A08B0F483DF784C66E269VBO" TargetMode="External"/><Relationship Id="rId18" Type="http://schemas.openxmlformats.org/officeDocument/2006/relationships/hyperlink" Target="consultantplus://offline/ref=7806DED30A655E80A056DCF64AF794D94CC1A46D7639AD324224C5FE8E76312FBA2C205358FDBF8EDD6F5066E08C14FF2A63V2O" TargetMode="External"/><Relationship Id="rId26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13BA132472798F4862F3D2DBD237F444DB4EB83DD6F4F63E8C647BB7E36CF88B62FCA994F730767V7O" TargetMode="External"/><Relationship Id="rId34" Type="http://schemas.openxmlformats.org/officeDocument/2006/relationships/hyperlink" Target="consultantplus://offline/ref=A2B47637BE8D009C76F2A14C4A97634F2CE9939E338FF839ED085B08416F9AA1540A3E08BE33C710313420647CuA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06DED30A655E80A056C2FB5C9BCAD348CAF9667338A2621E78C3A9D126377AE86C7E0A08B0F483DF784C66E269VBO" TargetMode="External"/><Relationship Id="rId17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5" Type="http://schemas.openxmlformats.org/officeDocument/2006/relationships/hyperlink" Target="consultantplus://offline/ref=7806DED30A655E80A056DCF64AF794D94CC1A46D763EA83D422CC5FE8E76312FBA2C20534AFDE782DC664D61E49942AE6F6EC380A131C9845371067F64V4O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0" Type="http://schemas.openxmlformats.org/officeDocument/2006/relationships/hyperlink" Target="consultantplus://offline/ref=7806DED30A655E80A056DCF64AF794D94CC1A46D763EAA35402EC5FE8E76312FBA2C20534AFDE782DC664F65E29942AE6F6EC380A131C9845371067F64V4O" TargetMode="External"/><Relationship Id="rId29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06DED30A655E80A056C2FB5C9BCAD349C2FD607433A2621E78C3A9D126377AFA6C260609B9EE8BDE6D1A37A7C71BFE2225CE82B62DC98664V4O" TargetMode="External"/><Relationship Id="rId24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3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8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7806DED30A655E80A056C2FB5C9BCAD348CBFE687438A2621E78C3A9D126377AFA6C260609B9E887D56D1A37A7C71BFE2225CE82B62DC98664V4O" TargetMode="External"/><Relationship Id="rId19" Type="http://schemas.openxmlformats.org/officeDocument/2006/relationships/hyperlink" Target="consultantplus://offline/ref=7806DED30A655E80A056DCF64AF794D94CC1A46D7639AE354A2DC5FE8E76312FBA2C205358FDBF8EDD6F5066E08C14FF2A63V2O" TargetMode="External"/><Relationship Id="rId31" Type="http://schemas.openxmlformats.org/officeDocument/2006/relationships/hyperlink" Target="consultantplus://offline/ref=A2B47637BE8D009C76F2A14C4A97634F2CE9939E338FF839ED085B08416F9AA1540A3E08BE33C710313420647Cu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06DED30A655E80A056C2FB5C9BCAD348CBFE69763DA2621E78C3A9D126377AE86C7E0A08B0F483DF784C66E269VBO" TargetMode="External"/><Relationship Id="rId14" Type="http://schemas.openxmlformats.org/officeDocument/2006/relationships/hyperlink" Target="consultantplus://offline/ref=7806DED30A655E80A056C2FB5C9BCAD348CAF960753AA2621E78C3A9D126377AE86C7E0A08B0F483DF784C66E269VBO" TargetMode="External"/><Relationship Id="rId22" Type="http://schemas.openxmlformats.org/officeDocument/2006/relationships/hyperlink" Target="consultantplus://offline/ref=457DFB6C243A1923DC09C6409130746347D7B3452671E05ED2E8024949A9CFE09C37129769E01342C0A8477C4A18B91EFC9A288031141BB1714B038Dy7J3I" TargetMode="External"/><Relationship Id="rId27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0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35" Type="http://schemas.openxmlformats.org/officeDocument/2006/relationships/hyperlink" Target="consultantplus://offline/ref=A2B47637BE8D009C76F2A14C4A97634F2CE9939E338FF839ED085B08416F9AA1540A3E08BE33C710313420647Cu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7ABC1-387C-4377-9240-4CC8836F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6831</Words>
  <Characters>38939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ГПВ</cp:lastModifiedBy>
  <cp:revision>3</cp:revision>
  <cp:lastPrinted>2024-01-22T14:07:00Z</cp:lastPrinted>
  <dcterms:created xsi:type="dcterms:W3CDTF">2024-02-09T13:41:00Z</dcterms:created>
  <dcterms:modified xsi:type="dcterms:W3CDTF">2024-02-09T13:58:00Z</dcterms:modified>
</cp:coreProperties>
</file>