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Налоговики сообщают, что делать, если налоговое </w:t>
      </w: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уведомление не получено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УФНС России по Ставропольскому краю информирует: срок уплаты физическими лицами транспортного, земельного налогов, налога на имущество физлиц и не удержанного налоговым агентом НДФЛ за прошлый год – не позднее 2 декабря 2024 года.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Разослать уведомления на оплату налоговые органы должны не позднее, чем за 30 дней до установленного срока уплаты. При неполучении до этого срока налогового уведомления за период владения </w:t>
      </w:r>
      <w:proofErr w:type="gramStart"/>
      <w:r>
        <w:rPr>
          <w:color w:val="000000"/>
          <w:spacing w:val="3"/>
          <w:sz w:val="28"/>
          <w:szCs w:val="28"/>
        </w:rPr>
        <w:t>налогооблагаемыми</w:t>
      </w:r>
      <w:proofErr w:type="gramEnd"/>
      <w:r>
        <w:rPr>
          <w:color w:val="000000"/>
          <w:spacing w:val="3"/>
          <w:sz w:val="28"/>
          <w:szCs w:val="28"/>
        </w:rPr>
        <w:t xml:space="preserve"> недвижимостью или транспортным средством, налогоплательщику следует обратиться в налоговый орган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этом стоит учесть, что налоговые уведомления не направляются по почте на бумажном носителе в следующих случаях: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если общая сумма налогов, отражаемых в налоговом уведомлении, составляет менее 300 руб., кроме случаев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налогоплательщик имеет личный кабинет на сайте ФНС России и не направил в налоговый орган уведомление о необходимости получения налоговых документов на бумажном носителе;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налогоплательщик направил </w:t>
      </w:r>
      <w:proofErr w:type="gramStart"/>
      <w:r>
        <w:rPr>
          <w:color w:val="000000"/>
          <w:spacing w:val="3"/>
          <w:sz w:val="28"/>
          <w:szCs w:val="28"/>
        </w:rPr>
        <w:t>в налоговый орган уведомление о необходимости получения документов от налоговых органов в электронной форме через личный кабинет</w:t>
      </w:r>
      <w:proofErr w:type="gramEnd"/>
      <w:r>
        <w:rPr>
          <w:color w:val="000000"/>
          <w:spacing w:val="3"/>
          <w:sz w:val="28"/>
          <w:szCs w:val="28"/>
        </w:rPr>
        <w:t xml:space="preserve"> на портале </w:t>
      </w:r>
      <w:proofErr w:type="spellStart"/>
      <w:r>
        <w:rPr>
          <w:color w:val="000000"/>
          <w:spacing w:val="3"/>
          <w:sz w:val="28"/>
          <w:szCs w:val="28"/>
        </w:rPr>
        <w:t>госуслуг</w:t>
      </w:r>
      <w:proofErr w:type="spellEnd"/>
      <w:r>
        <w:rPr>
          <w:color w:val="000000"/>
          <w:spacing w:val="3"/>
          <w:sz w:val="28"/>
          <w:szCs w:val="28"/>
        </w:rPr>
        <w:t>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УФНС России по Ставропольскому краю информирует о специальной </w:t>
      </w:r>
      <w:proofErr w:type="spellStart"/>
      <w:r>
        <w:rPr>
          <w:color w:val="000000"/>
          <w:spacing w:val="3"/>
          <w:sz w:val="28"/>
          <w:szCs w:val="28"/>
        </w:rPr>
        <w:t>промостранице</w:t>
      </w:r>
      <w:proofErr w:type="spellEnd"/>
      <w:r>
        <w:rPr>
          <w:color w:val="000000"/>
          <w:spacing w:val="3"/>
          <w:sz w:val="28"/>
          <w:szCs w:val="28"/>
        </w:rPr>
        <w:t>, размещенной на сайте ФНС России «Налоговое уведомление 2024 года», где содержится актуальная информация о налоговых уведомлениях, направленных физическим лицам в 2024 году.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E0DA-719B-48FB-AACD-F8CFCD70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2021-11-12T10:37:00Z</cp:lastPrinted>
  <dcterms:created xsi:type="dcterms:W3CDTF">2024-10-16T13:48:00Z</dcterms:created>
  <dcterms:modified xsi:type="dcterms:W3CDTF">2024-10-16T13:48:00Z</dcterms:modified>
</cp:coreProperties>
</file>