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9B" w:rsidRDefault="008F4A9B" w:rsidP="00A8760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F4A9B" w:rsidRDefault="008F4A9B" w:rsidP="00A8760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8760B" w:rsidRDefault="00A8760B" w:rsidP="00A8760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729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7294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</w:p>
    <w:p w:rsidR="00AE7294" w:rsidRDefault="00D02647" w:rsidP="00A8760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760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02647" w:rsidRDefault="00D02647" w:rsidP="00A8760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E7294" w:rsidRPr="00E3217C" w:rsidRDefault="00A22608" w:rsidP="00A8760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</w:t>
      </w:r>
    </w:p>
    <w:p w:rsidR="00AE7294" w:rsidRPr="00E3217C" w:rsidRDefault="00AE7294" w:rsidP="00AE729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100CD" w:rsidRDefault="00A100CD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7A" w:rsidRDefault="00EA777A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7A" w:rsidRDefault="00EA777A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7A" w:rsidRDefault="00EA777A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7A" w:rsidRDefault="00EA777A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7A" w:rsidRDefault="00EA777A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77A" w:rsidRDefault="00EA777A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EAB" w:rsidRDefault="00652EAB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647" w:rsidRPr="00E3217C" w:rsidRDefault="00D02647" w:rsidP="00D0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D02647" w:rsidRDefault="00D02647" w:rsidP="00D0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3217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02647" w:rsidRPr="00E3217C" w:rsidRDefault="00D02647" w:rsidP="00D0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02647" w:rsidRDefault="00D31CE6" w:rsidP="00D02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A22608">
        <w:rPr>
          <w:rFonts w:ascii="Times New Roman" w:hAnsi="Times New Roman" w:cs="Times New Roman"/>
          <w:sz w:val="28"/>
          <w:szCs w:val="28"/>
        </w:rPr>
        <w:t>4</w:t>
      </w:r>
      <w:r w:rsidR="00D02647" w:rsidRPr="00E321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7294" w:rsidRDefault="00AE7294" w:rsidP="00AE7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226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администрацию Минераловодского </w:t>
      </w:r>
      <w:r w:rsidR="00D0264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 поступило </w:t>
      </w:r>
      <w:r w:rsidR="001973C8">
        <w:rPr>
          <w:rFonts w:ascii="Times New Roman" w:hAnsi="Times New Roman" w:cs="Times New Roman"/>
          <w:sz w:val="28"/>
          <w:szCs w:val="28"/>
        </w:rPr>
        <w:t>4</w:t>
      </w:r>
      <w:r w:rsidR="00A22608">
        <w:rPr>
          <w:rFonts w:ascii="Times New Roman" w:hAnsi="Times New Roman" w:cs="Times New Roman"/>
          <w:sz w:val="28"/>
          <w:szCs w:val="28"/>
        </w:rPr>
        <w:t>619</w:t>
      </w:r>
      <w:r w:rsidR="003C635C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AE7294" w:rsidRDefault="00AE7294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письменных обращений – 2</w:t>
      </w:r>
      <w:r w:rsidR="00A22608">
        <w:rPr>
          <w:rFonts w:ascii="Times New Roman" w:hAnsi="Times New Roman" w:cs="Times New Roman"/>
          <w:sz w:val="28"/>
          <w:szCs w:val="28"/>
        </w:rPr>
        <w:t>478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294" w:rsidRDefault="00AE7294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«Телефон доверия главы Минераловодского </w:t>
      </w:r>
      <w:r w:rsidR="00D31CE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1CE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8760B">
        <w:rPr>
          <w:rFonts w:ascii="Times New Roman" w:hAnsi="Times New Roman" w:cs="Times New Roman"/>
          <w:sz w:val="28"/>
          <w:szCs w:val="28"/>
        </w:rPr>
        <w:t>2</w:t>
      </w:r>
      <w:r w:rsidR="00A22608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294" w:rsidRDefault="00AE7294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устных обращений, поступивших в ходе личных приемов – </w:t>
      </w:r>
      <w:r w:rsidR="00A22608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294" w:rsidRDefault="00AE7294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ходе проведения «Прямой линии главы Минерал</w:t>
      </w:r>
      <w:r w:rsidR="00A8760B">
        <w:rPr>
          <w:rFonts w:ascii="Times New Roman" w:hAnsi="Times New Roman" w:cs="Times New Roman"/>
          <w:sz w:val="28"/>
          <w:szCs w:val="28"/>
        </w:rPr>
        <w:t xml:space="preserve">оводского </w:t>
      </w:r>
      <w:r w:rsidR="00D31CE6">
        <w:rPr>
          <w:rFonts w:ascii="Times New Roman" w:hAnsi="Times New Roman" w:cs="Times New Roman"/>
          <w:sz w:val="28"/>
          <w:szCs w:val="28"/>
        </w:rPr>
        <w:t>муниципального</w:t>
      </w:r>
      <w:r w:rsidR="00A8760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1CE6">
        <w:rPr>
          <w:rFonts w:ascii="Times New Roman" w:hAnsi="Times New Roman" w:cs="Times New Roman"/>
          <w:sz w:val="28"/>
          <w:szCs w:val="28"/>
        </w:rPr>
        <w:t xml:space="preserve"> Ставропольского края» – </w:t>
      </w:r>
      <w:r w:rsidR="00A22608">
        <w:rPr>
          <w:rFonts w:ascii="Times New Roman" w:hAnsi="Times New Roman" w:cs="Times New Roman"/>
          <w:sz w:val="28"/>
          <w:szCs w:val="28"/>
        </w:rPr>
        <w:t>54</w:t>
      </w:r>
      <w:r w:rsidR="001E2439">
        <w:rPr>
          <w:rFonts w:ascii="Times New Roman" w:hAnsi="Times New Roman" w:cs="Times New Roman"/>
          <w:sz w:val="28"/>
          <w:szCs w:val="28"/>
        </w:rPr>
        <w:t>;</w:t>
      </w:r>
    </w:p>
    <w:p w:rsidR="001E2439" w:rsidRDefault="00D31CE6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216E6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латформ</w:t>
      </w:r>
      <w:r w:rsidR="000216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обратной связи – </w:t>
      </w:r>
      <w:r w:rsidR="00A22608">
        <w:rPr>
          <w:rFonts w:ascii="Times New Roman" w:hAnsi="Times New Roman" w:cs="Times New Roman"/>
          <w:sz w:val="28"/>
          <w:szCs w:val="28"/>
        </w:rPr>
        <w:t>1703</w:t>
      </w:r>
      <w:r w:rsidR="000216E6">
        <w:rPr>
          <w:rFonts w:ascii="Times New Roman" w:hAnsi="Times New Roman" w:cs="Times New Roman"/>
          <w:sz w:val="28"/>
          <w:szCs w:val="28"/>
        </w:rPr>
        <w:t>.</w:t>
      </w:r>
      <w:r w:rsidR="00FA0957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1E2439" w:rsidRDefault="001E2439" w:rsidP="00652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294" w:rsidRDefault="00AE7294" w:rsidP="00AE7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3A">
        <w:rPr>
          <w:rFonts w:ascii="Times New Roman" w:hAnsi="Times New Roman" w:cs="Times New Roman"/>
          <w:b/>
          <w:sz w:val="28"/>
          <w:szCs w:val="28"/>
        </w:rPr>
        <w:t>Количество обращений, поступивших в администрацию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43A">
        <w:rPr>
          <w:rFonts w:ascii="Times New Roman" w:hAnsi="Times New Roman" w:cs="Times New Roman"/>
          <w:b/>
          <w:sz w:val="28"/>
          <w:szCs w:val="28"/>
        </w:rPr>
        <w:t>Минераловодског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1CE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</w:p>
    <w:p w:rsidR="00AE7294" w:rsidRDefault="00AE7294" w:rsidP="00AE7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65E2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D31CE6">
        <w:rPr>
          <w:rFonts w:ascii="Times New Roman" w:hAnsi="Times New Roman" w:cs="Times New Roman"/>
          <w:b/>
          <w:sz w:val="28"/>
          <w:szCs w:val="28"/>
        </w:rPr>
        <w:t>, 2023</w:t>
      </w:r>
      <w:r w:rsidR="00A22608">
        <w:rPr>
          <w:rFonts w:ascii="Times New Roman" w:hAnsi="Times New Roman" w:cs="Times New Roman"/>
          <w:b/>
          <w:sz w:val="28"/>
          <w:szCs w:val="28"/>
        </w:rPr>
        <w:t>,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 </w:t>
      </w:r>
    </w:p>
    <w:p w:rsidR="00AE7294" w:rsidRDefault="00A22608" w:rsidP="00AE7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1AA8E2" wp14:editId="65C4855C">
            <wp:extent cx="6019800" cy="2842260"/>
            <wp:effectExtent l="0" t="0" r="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73C8" w:rsidRDefault="001973C8" w:rsidP="00197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сравнению с 202</w:t>
      </w:r>
      <w:r w:rsidR="00A22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письменных обращений </w:t>
      </w:r>
      <w:r w:rsidR="00D31CE6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226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60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% (2</w:t>
      </w:r>
      <w:r w:rsidR="00A22608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 xml:space="preserve"> обращений в 202</w:t>
      </w:r>
      <w:r w:rsidR="00A22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г.).</w:t>
      </w:r>
      <w:r w:rsidRPr="00B0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поступивших на «Телефон доверия главы Минераловодского </w:t>
      </w:r>
      <w:r w:rsidR="00D31CE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1CE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22608">
        <w:rPr>
          <w:rFonts w:ascii="Times New Roman" w:hAnsi="Times New Roman" w:cs="Times New Roman"/>
          <w:sz w:val="28"/>
          <w:szCs w:val="28"/>
        </w:rPr>
        <w:t>уменьшилось</w:t>
      </w:r>
      <w:r w:rsidR="00D31CE6">
        <w:rPr>
          <w:rFonts w:ascii="Times New Roman" w:hAnsi="Times New Roman" w:cs="Times New Roman"/>
          <w:sz w:val="28"/>
          <w:szCs w:val="28"/>
        </w:rPr>
        <w:t xml:space="preserve"> на </w:t>
      </w:r>
      <w:r w:rsidR="00A2260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60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A22608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26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2B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A22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г.).</w:t>
      </w:r>
      <w:r w:rsidRPr="00EC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устных обращений, поступивших в ходе личного приема граждан главой Минераловодского </w:t>
      </w:r>
      <w:r w:rsidR="001502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502B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его з</w:t>
      </w:r>
      <w:r w:rsidR="001502B1">
        <w:rPr>
          <w:rFonts w:ascii="Times New Roman" w:hAnsi="Times New Roman" w:cs="Times New Roman"/>
          <w:sz w:val="28"/>
          <w:szCs w:val="28"/>
        </w:rPr>
        <w:t xml:space="preserve">аместителями, </w:t>
      </w:r>
      <w:r w:rsidR="00A22608">
        <w:rPr>
          <w:rFonts w:ascii="Times New Roman" w:hAnsi="Times New Roman" w:cs="Times New Roman"/>
          <w:sz w:val="28"/>
          <w:szCs w:val="28"/>
        </w:rPr>
        <w:t>уменьшилось</w:t>
      </w:r>
      <w:r w:rsidR="001502B1">
        <w:rPr>
          <w:rFonts w:ascii="Times New Roman" w:hAnsi="Times New Roman" w:cs="Times New Roman"/>
          <w:sz w:val="28"/>
          <w:szCs w:val="28"/>
        </w:rPr>
        <w:t xml:space="preserve"> на   </w:t>
      </w:r>
      <w:r w:rsidR="00A22608">
        <w:rPr>
          <w:rFonts w:ascii="Times New Roman" w:hAnsi="Times New Roman" w:cs="Times New Roman"/>
          <w:sz w:val="28"/>
          <w:szCs w:val="28"/>
        </w:rPr>
        <w:t>33</w:t>
      </w:r>
      <w:r w:rsidR="001502B1">
        <w:rPr>
          <w:rFonts w:ascii="Times New Roman" w:hAnsi="Times New Roman" w:cs="Times New Roman"/>
          <w:sz w:val="28"/>
          <w:szCs w:val="28"/>
        </w:rPr>
        <w:t>,</w:t>
      </w:r>
      <w:r w:rsidR="00A2260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A22608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502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A226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г.). Так же на </w:t>
      </w:r>
      <w:r w:rsidR="00A2260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60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% произошло увеличение обращений, поступивших </w:t>
      </w:r>
      <w:r w:rsidR="000216E6">
        <w:rPr>
          <w:rFonts w:ascii="Times New Roman" w:hAnsi="Times New Roman" w:cs="Times New Roman"/>
          <w:sz w:val="28"/>
          <w:szCs w:val="28"/>
        </w:rPr>
        <w:t>в ходе проведения Прямой линии г</w:t>
      </w:r>
      <w:r>
        <w:rPr>
          <w:rFonts w:ascii="Times New Roman" w:hAnsi="Times New Roman" w:cs="Times New Roman"/>
          <w:sz w:val="28"/>
          <w:szCs w:val="28"/>
        </w:rPr>
        <w:t xml:space="preserve">лавой Минераловодского </w:t>
      </w:r>
      <w:r w:rsidR="001502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502B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216E6">
        <w:rPr>
          <w:rFonts w:ascii="Times New Roman" w:hAnsi="Times New Roman" w:cs="Times New Roman"/>
          <w:sz w:val="28"/>
          <w:szCs w:val="28"/>
        </w:rPr>
        <w:t xml:space="preserve"> –</w:t>
      </w:r>
      <w:r w:rsidR="001502B1">
        <w:rPr>
          <w:rFonts w:ascii="Times New Roman" w:hAnsi="Times New Roman" w:cs="Times New Roman"/>
          <w:sz w:val="28"/>
          <w:szCs w:val="28"/>
        </w:rPr>
        <w:t xml:space="preserve"> </w:t>
      </w:r>
      <w:r w:rsidR="00A22608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26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502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1502B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сообщений в 202</w:t>
      </w:r>
      <w:r w:rsidR="00150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r w:rsidR="00A22608">
        <w:rPr>
          <w:rFonts w:ascii="Times New Roman" w:hAnsi="Times New Roman" w:cs="Times New Roman"/>
          <w:sz w:val="28"/>
          <w:szCs w:val="28"/>
        </w:rPr>
        <w:t>1703</w:t>
      </w:r>
      <w:r w:rsidR="000216E6">
        <w:rPr>
          <w:rFonts w:ascii="Times New Roman" w:hAnsi="Times New Roman" w:cs="Times New Roman"/>
          <w:sz w:val="28"/>
          <w:szCs w:val="28"/>
        </w:rPr>
        <w:t xml:space="preserve"> </w:t>
      </w:r>
      <w:r w:rsidRPr="000F63E3">
        <w:rPr>
          <w:rFonts w:ascii="Times New Roman" w:hAnsi="Times New Roman" w:cs="Times New Roman"/>
          <w:sz w:val="28"/>
          <w:szCs w:val="28"/>
        </w:rPr>
        <w:t>сообщени</w:t>
      </w:r>
      <w:r w:rsidR="000216E6">
        <w:rPr>
          <w:rFonts w:ascii="Times New Roman" w:hAnsi="Times New Roman" w:cs="Times New Roman"/>
          <w:sz w:val="28"/>
          <w:szCs w:val="28"/>
        </w:rPr>
        <w:t>я</w:t>
      </w:r>
      <w:r w:rsidRPr="000F63E3">
        <w:rPr>
          <w:rFonts w:ascii="Times New Roman" w:hAnsi="Times New Roman" w:cs="Times New Roman"/>
          <w:sz w:val="28"/>
          <w:szCs w:val="28"/>
        </w:rPr>
        <w:t xml:space="preserve"> поступи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502B1">
        <w:rPr>
          <w:rFonts w:ascii="Times New Roman" w:hAnsi="Times New Roman" w:cs="Times New Roman"/>
          <w:sz w:val="28"/>
          <w:szCs w:val="28"/>
        </w:rPr>
        <w:t>о</w:t>
      </w:r>
      <w:r w:rsidRPr="000F63E3">
        <w:rPr>
          <w:rFonts w:ascii="Times New Roman" w:hAnsi="Times New Roman" w:cs="Times New Roman"/>
          <w:sz w:val="28"/>
          <w:szCs w:val="28"/>
        </w:rPr>
        <w:t xml:space="preserve"> от граждан посредством </w:t>
      </w:r>
      <w:r>
        <w:rPr>
          <w:rFonts w:ascii="Times New Roman" w:hAnsi="Times New Roman" w:cs="Times New Roman"/>
          <w:sz w:val="28"/>
          <w:szCs w:val="28"/>
        </w:rPr>
        <w:t>Платформы обратной связи в 202</w:t>
      </w:r>
      <w:r w:rsidR="00A226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что </w:t>
      </w:r>
      <w:r w:rsidR="00955E19">
        <w:rPr>
          <w:rFonts w:ascii="Times New Roman" w:hAnsi="Times New Roman" w:cs="Times New Roman"/>
          <w:sz w:val="28"/>
          <w:szCs w:val="28"/>
        </w:rPr>
        <w:t>в 2,6 раза</w:t>
      </w:r>
      <w:r>
        <w:rPr>
          <w:rFonts w:ascii="Times New Roman" w:hAnsi="Times New Roman" w:cs="Times New Roman"/>
          <w:sz w:val="28"/>
          <w:szCs w:val="28"/>
        </w:rPr>
        <w:t xml:space="preserve"> больше, чем в 202</w:t>
      </w:r>
      <w:r w:rsidR="00955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r w:rsidR="00955E19">
        <w:rPr>
          <w:rFonts w:ascii="Times New Roman" w:hAnsi="Times New Roman" w:cs="Times New Roman"/>
          <w:sz w:val="28"/>
          <w:szCs w:val="28"/>
        </w:rPr>
        <w:t>643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955E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5E1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E19">
        <w:rPr>
          <w:rFonts w:ascii="Times New Roman" w:hAnsi="Times New Roman" w:cs="Times New Roman"/>
          <w:sz w:val="28"/>
          <w:szCs w:val="28"/>
        </w:rPr>
        <w:t>в 3,2 раза больше, чем в 2022 году (537 сообщений).</w:t>
      </w:r>
    </w:p>
    <w:p w:rsidR="001502B1" w:rsidRDefault="001502B1" w:rsidP="00197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увеличения общего количества поступивших обращений прослеживается увеличение количества обращений в адрес органа местного самоуправления </w:t>
      </w:r>
      <w:r w:rsidR="00955E19">
        <w:rPr>
          <w:rFonts w:ascii="Times New Roman" w:hAnsi="Times New Roman" w:cs="Times New Roman"/>
          <w:sz w:val="28"/>
          <w:szCs w:val="28"/>
        </w:rPr>
        <w:t>особенно через платформу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25E" w:rsidRDefault="0067325E" w:rsidP="00AE729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294" w:rsidRDefault="00AE7294" w:rsidP="00AE729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обращений по виду доставки</w:t>
      </w:r>
    </w:p>
    <w:p w:rsidR="00AE7294" w:rsidRDefault="00955E19" w:rsidP="003B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C43FD1" wp14:editId="44B7F35E">
            <wp:extent cx="6111240" cy="2971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42C3" w:rsidRDefault="005C2BCB" w:rsidP="00673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проанализировать письменные обращения, поступившие в администрацию в 2024 году, то можно заметить незначительное уменьшение на 5,57% обращений, направленных непосредственно в администрацию округа (в 2023 году было 1134 обращения, в 2024 году стало 1108 обращений). </w:t>
      </w:r>
    </w:p>
    <w:p w:rsidR="008742C3" w:rsidRDefault="008742C3" w:rsidP="00874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Уменьшилось и количество обращений на «Телефон доверия» Губернатора Ставропольского края, на «Прямую линию» с Губернатором Ставропольского края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уменьшилось:</w:t>
      </w:r>
    </w:p>
    <w:p w:rsidR="008742C3" w:rsidRDefault="008742C3" w:rsidP="00874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доверия» Губернатора Ставропольского края в 2023 году поступило 77 обращений, в 2024 году – 37 обращений, уменьшение составило 51,95 %;</w:t>
      </w:r>
    </w:p>
    <w:p w:rsidR="008742C3" w:rsidRDefault="008742C3" w:rsidP="00874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проведения «Прямой линии» Губернатором Ставропольского края в 2023 году поступило 89 обращений, в 2024 году – 75 обращений,</w:t>
      </w:r>
      <w:r w:rsidRPr="005D4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уменьшение составило 15,73 %;</w:t>
      </w:r>
    </w:p>
    <w:p w:rsidR="008742C3" w:rsidRDefault="008742C3" w:rsidP="00874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 2023 году поступило 45 обращений, в 2024 году – 1 обращение, уменьшение составило 97,78 %.</w:t>
      </w:r>
    </w:p>
    <w:p w:rsidR="008742C3" w:rsidRDefault="005C2BCB" w:rsidP="00874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увеличилось</w:t>
      </w:r>
      <w:r w:rsidRPr="008D2805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2805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 из вышестоящих организаций, так количество обращений в адрес Президента Российской Федерации увеличилось на 9,32</w:t>
      </w:r>
      <w:r w:rsidR="00874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(214 обращений в 2023 году, 236 обращений в 2024 году). Количество </w:t>
      </w:r>
      <w:r w:rsidR="008742C3">
        <w:rPr>
          <w:rFonts w:ascii="Times New Roman" w:hAnsi="Times New Roman" w:cs="Times New Roman"/>
          <w:sz w:val="28"/>
          <w:szCs w:val="28"/>
        </w:rPr>
        <w:t xml:space="preserve">письменных </w:t>
      </w:r>
      <w:r>
        <w:rPr>
          <w:rFonts w:ascii="Times New Roman" w:hAnsi="Times New Roman" w:cs="Times New Roman"/>
          <w:sz w:val="28"/>
          <w:szCs w:val="28"/>
        </w:rPr>
        <w:t>обращений в адрес Губернатора Ставропольского края увеличилось на 5,02</w:t>
      </w:r>
      <w:r w:rsidR="00874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(246 обращений в 2023 году, 259 обращений в 2024 году).</w:t>
      </w:r>
      <w:r w:rsidR="00B40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32" w:rsidRDefault="00B40132" w:rsidP="00B4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обращений, перенаправленных из органов исполнительной власти и Минераловодской межрайонной прокуратуры:</w:t>
      </w:r>
    </w:p>
    <w:p w:rsidR="005D4DAD" w:rsidRDefault="005D4DAD" w:rsidP="005D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органов исполнительной власти Ставропольского края в 2023 году поступило 166 обращений, в 2024 году – 239 обращений</w:t>
      </w:r>
      <w:r w:rsidR="008742C3">
        <w:rPr>
          <w:rFonts w:ascii="Times New Roman" w:hAnsi="Times New Roman" w:cs="Times New Roman"/>
          <w:sz w:val="28"/>
          <w:szCs w:val="28"/>
        </w:rPr>
        <w:t>, увеличение составило 30,54 %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132" w:rsidRDefault="005D4DAD" w:rsidP="005D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Минераловодской межрайонной прокуратуры в 2023 году поступило 154 обращения, в 2024 году – 185 обращений</w:t>
      </w:r>
      <w:r w:rsidR="008742C3">
        <w:rPr>
          <w:rFonts w:ascii="Times New Roman" w:hAnsi="Times New Roman" w:cs="Times New Roman"/>
          <w:sz w:val="28"/>
          <w:szCs w:val="28"/>
        </w:rPr>
        <w:t>, увеличение составило 16,76 %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A9B" w:rsidRDefault="008F4A9B" w:rsidP="00AE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294" w:rsidRDefault="00AE7294" w:rsidP="00AE7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E0">
        <w:rPr>
          <w:rFonts w:ascii="Times New Roman" w:hAnsi="Times New Roman" w:cs="Times New Roman"/>
          <w:b/>
          <w:sz w:val="28"/>
          <w:szCs w:val="28"/>
        </w:rPr>
        <w:t>Распределение обращений по источникам поступления</w:t>
      </w:r>
    </w:p>
    <w:p w:rsidR="00AE7294" w:rsidRPr="00170049" w:rsidRDefault="00AE7294" w:rsidP="00AE7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7294" w:rsidRDefault="00FA0957" w:rsidP="00AE7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41F507" wp14:editId="22E9E6BD">
            <wp:extent cx="6035040" cy="3223260"/>
            <wp:effectExtent l="3810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обращений, поступивших в адрес администрации, в основном представлена следующими вопросами:</w:t>
      </w:r>
    </w:p>
    <w:p w:rsidR="00AE7294" w:rsidRPr="00C215F6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15F6">
        <w:rPr>
          <w:rFonts w:ascii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638A">
        <w:rPr>
          <w:rFonts w:ascii="Times New Roman" w:hAnsi="Times New Roman" w:cs="Times New Roman"/>
          <w:sz w:val="28"/>
          <w:szCs w:val="28"/>
        </w:rPr>
        <w:t>7</w:t>
      </w:r>
      <w:r w:rsidR="000D20F5">
        <w:rPr>
          <w:rFonts w:ascii="Times New Roman" w:hAnsi="Times New Roman" w:cs="Times New Roman"/>
          <w:sz w:val="28"/>
          <w:szCs w:val="28"/>
        </w:rPr>
        <w:t>30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32B31">
        <w:rPr>
          <w:rFonts w:ascii="Times New Roman" w:hAnsi="Times New Roman" w:cs="Times New Roman"/>
          <w:sz w:val="28"/>
          <w:szCs w:val="28"/>
        </w:rPr>
        <w:t>й</w:t>
      </w:r>
      <w:r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A32B31">
        <w:rPr>
          <w:rFonts w:ascii="Times New Roman" w:hAnsi="Times New Roman" w:cs="Times New Roman"/>
          <w:sz w:val="28"/>
          <w:szCs w:val="28"/>
        </w:rPr>
        <w:t>5</w:t>
      </w:r>
      <w:r w:rsidR="000D20F5">
        <w:rPr>
          <w:rFonts w:ascii="Times New Roman" w:hAnsi="Times New Roman" w:cs="Times New Roman"/>
          <w:sz w:val="28"/>
          <w:szCs w:val="28"/>
        </w:rPr>
        <w:t>9</w:t>
      </w:r>
      <w:r w:rsidR="00A32B31">
        <w:rPr>
          <w:rFonts w:ascii="Times New Roman" w:hAnsi="Times New Roman" w:cs="Times New Roman"/>
          <w:sz w:val="28"/>
          <w:szCs w:val="28"/>
        </w:rPr>
        <w:t>,</w:t>
      </w:r>
      <w:r w:rsidR="000D20F5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15F6">
        <w:rPr>
          <w:rFonts w:ascii="Times New Roman" w:hAnsi="Times New Roman" w:cs="Times New Roman"/>
          <w:sz w:val="28"/>
          <w:szCs w:val="28"/>
        </w:rPr>
        <w:t>землепользовани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15F6">
        <w:rPr>
          <w:rFonts w:ascii="Times New Roman" w:hAnsi="Times New Roman" w:cs="Times New Roman"/>
          <w:sz w:val="28"/>
          <w:szCs w:val="28"/>
        </w:rPr>
        <w:t xml:space="preserve"> и землеустройств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– </w:t>
      </w:r>
      <w:r w:rsidR="00FE638A">
        <w:rPr>
          <w:rFonts w:ascii="Times New Roman" w:hAnsi="Times New Roman" w:cs="Times New Roman"/>
          <w:sz w:val="28"/>
          <w:szCs w:val="28"/>
        </w:rPr>
        <w:t>3</w:t>
      </w:r>
      <w:r w:rsidR="000D20F5">
        <w:rPr>
          <w:rFonts w:ascii="Times New Roman" w:hAnsi="Times New Roman" w:cs="Times New Roman"/>
          <w:sz w:val="28"/>
          <w:szCs w:val="28"/>
        </w:rPr>
        <w:t>37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A32B31">
        <w:rPr>
          <w:rFonts w:ascii="Times New Roman" w:hAnsi="Times New Roman" w:cs="Times New Roman"/>
          <w:sz w:val="28"/>
          <w:szCs w:val="28"/>
        </w:rPr>
        <w:t>11,</w:t>
      </w:r>
      <w:r w:rsidR="000D20F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социальная</w:t>
      </w:r>
      <w:r w:rsidRPr="00251180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1180">
        <w:rPr>
          <w:rFonts w:ascii="Times New Roman" w:hAnsi="Times New Roman" w:cs="Times New Roman"/>
          <w:sz w:val="28"/>
          <w:szCs w:val="28"/>
        </w:rPr>
        <w:t xml:space="preserve"> – </w:t>
      </w:r>
      <w:r w:rsidR="000D20F5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0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20F5">
        <w:rPr>
          <w:rFonts w:ascii="Times New Roman" w:hAnsi="Times New Roman" w:cs="Times New Roman"/>
          <w:sz w:val="28"/>
          <w:szCs w:val="28"/>
        </w:rPr>
        <w:t>5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 w:rsidR="000D20F5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AE7294" w:rsidRPr="00C215F6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638A">
        <w:rPr>
          <w:rFonts w:ascii="Times New Roman" w:hAnsi="Times New Roman" w:cs="Times New Roman"/>
          <w:sz w:val="28"/>
          <w:szCs w:val="28"/>
        </w:rPr>
        <w:t>архитектура</w:t>
      </w:r>
      <w:r w:rsidR="00FE638A" w:rsidRPr="00C215F6">
        <w:rPr>
          <w:rFonts w:ascii="Times New Roman" w:hAnsi="Times New Roman" w:cs="Times New Roman"/>
          <w:sz w:val="28"/>
          <w:szCs w:val="28"/>
        </w:rPr>
        <w:t xml:space="preserve"> и градостроительств</w:t>
      </w:r>
      <w:r w:rsidR="00FE638A">
        <w:rPr>
          <w:rFonts w:ascii="Times New Roman" w:hAnsi="Times New Roman" w:cs="Times New Roman"/>
          <w:sz w:val="28"/>
          <w:szCs w:val="28"/>
        </w:rPr>
        <w:t>о</w:t>
      </w:r>
      <w:r w:rsidR="00FE638A" w:rsidRPr="00C215F6">
        <w:rPr>
          <w:rFonts w:ascii="Times New Roman" w:hAnsi="Times New Roman" w:cs="Times New Roman"/>
          <w:sz w:val="28"/>
          <w:szCs w:val="28"/>
        </w:rPr>
        <w:t xml:space="preserve"> – </w:t>
      </w:r>
      <w:r w:rsidR="00FE638A">
        <w:rPr>
          <w:rFonts w:ascii="Times New Roman" w:hAnsi="Times New Roman" w:cs="Times New Roman"/>
          <w:sz w:val="28"/>
          <w:szCs w:val="28"/>
        </w:rPr>
        <w:t>1</w:t>
      </w:r>
      <w:r w:rsidR="000D20F5">
        <w:rPr>
          <w:rFonts w:ascii="Times New Roman" w:hAnsi="Times New Roman" w:cs="Times New Roman"/>
          <w:sz w:val="28"/>
          <w:szCs w:val="28"/>
        </w:rPr>
        <w:t>5</w:t>
      </w:r>
      <w:r w:rsidR="00FE638A">
        <w:rPr>
          <w:rFonts w:ascii="Times New Roman" w:hAnsi="Times New Roman" w:cs="Times New Roman"/>
          <w:sz w:val="28"/>
          <w:szCs w:val="28"/>
        </w:rPr>
        <w:t>7</w:t>
      </w:r>
      <w:r w:rsidR="00FE638A" w:rsidRPr="00C215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0F5">
        <w:rPr>
          <w:rFonts w:ascii="Times New Roman" w:hAnsi="Times New Roman" w:cs="Times New Roman"/>
          <w:sz w:val="28"/>
          <w:szCs w:val="28"/>
        </w:rPr>
        <w:t>й</w:t>
      </w:r>
      <w:r w:rsidR="00FE638A" w:rsidRPr="00C215F6">
        <w:rPr>
          <w:rFonts w:ascii="Times New Roman" w:hAnsi="Times New Roman" w:cs="Times New Roman"/>
          <w:sz w:val="28"/>
          <w:szCs w:val="28"/>
        </w:rPr>
        <w:t xml:space="preserve"> (</w:t>
      </w:r>
      <w:r w:rsidR="000D20F5">
        <w:rPr>
          <w:rFonts w:ascii="Times New Roman" w:hAnsi="Times New Roman" w:cs="Times New Roman"/>
          <w:sz w:val="28"/>
          <w:szCs w:val="28"/>
        </w:rPr>
        <w:t>5</w:t>
      </w:r>
      <w:r w:rsidR="00FE638A" w:rsidRPr="00C215F6">
        <w:rPr>
          <w:rFonts w:ascii="Times New Roman" w:hAnsi="Times New Roman" w:cs="Times New Roman"/>
          <w:sz w:val="28"/>
          <w:szCs w:val="28"/>
        </w:rPr>
        <w:t>,</w:t>
      </w:r>
      <w:r w:rsidR="000D20F5">
        <w:rPr>
          <w:rFonts w:ascii="Times New Roman" w:hAnsi="Times New Roman" w:cs="Times New Roman"/>
          <w:sz w:val="28"/>
          <w:szCs w:val="28"/>
        </w:rPr>
        <w:t>38</w:t>
      </w:r>
      <w:r w:rsidR="00FE638A">
        <w:rPr>
          <w:rFonts w:ascii="Times New Roman" w:hAnsi="Times New Roman" w:cs="Times New Roman"/>
          <w:sz w:val="28"/>
          <w:szCs w:val="28"/>
        </w:rPr>
        <w:t xml:space="preserve"> </w:t>
      </w:r>
      <w:r w:rsidR="00FE638A" w:rsidRPr="00C215F6">
        <w:rPr>
          <w:rFonts w:ascii="Times New Roman" w:hAnsi="Times New Roman" w:cs="Times New Roman"/>
          <w:sz w:val="28"/>
          <w:szCs w:val="28"/>
        </w:rPr>
        <w:t>%)</w:t>
      </w:r>
    </w:p>
    <w:p w:rsidR="00AE7294" w:rsidRPr="00C215F6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E638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E638A" w:rsidRPr="00251180">
        <w:rPr>
          <w:rFonts w:ascii="Times New Roman" w:hAnsi="Times New Roman" w:cs="Times New Roman"/>
          <w:sz w:val="28"/>
          <w:szCs w:val="28"/>
        </w:rPr>
        <w:t>контрол</w:t>
      </w:r>
      <w:r w:rsidR="00FE638A">
        <w:rPr>
          <w:rFonts w:ascii="Times New Roman" w:hAnsi="Times New Roman" w:cs="Times New Roman"/>
          <w:sz w:val="28"/>
          <w:szCs w:val="28"/>
        </w:rPr>
        <w:t>ь</w:t>
      </w:r>
      <w:r w:rsidR="00FE638A" w:rsidRPr="00251180">
        <w:rPr>
          <w:rFonts w:ascii="Times New Roman" w:hAnsi="Times New Roman" w:cs="Times New Roman"/>
          <w:sz w:val="28"/>
          <w:szCs w:val="28"/>
        </w:rPr>
        <w:t xml:space="preserve"> – </w:t>
      </w:r>
      <w:r w:rsidR="00FE638A">
        <w:rPr>
          <w:rFonts w:ascii="Times New Roman" w:hAnsi="Times New Roman" w:cs="Times New Roman"/>
          <w:sz w:val="28"/>
          <w:szCs w:val="28"/>
        </w:rPr>
        <w:t>1</w:t>
      </w:r>
      <w:r w:rsidR="000D20F5">
        <w:rPr>
          <w:rFonts w:ascii="Times New Roman" w:hAnsi="Times New Roman" w:cs="Times New Roman"/>
          <w:sz w:val="28"/>
          <w:szCs w:val="28"/>
        </w:rPr>
        <w:t>41</w:t>
      </w:r>
      <w:r w:rsidR="00FE638A"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0F5">
        <w:rPr>
          <w:rFonts w:ascii="Times New Roman" w:hAnsi="Times New Roman" w:cs="Times New Roman"/>
          <w:sz w:val="28"/>
          <w:szCs w:val="28"/>
        </w:rPr>
        <w:t>е</w:t>
      </w:r>
      <w:r w:rsidR="00FE638A" w:rsidRPr="00251180">
        <w:rPr>
          <w:rFonts w:ascii="Times New Roman" w:hAnsi="Times New Roman" w:cs="Times New Roman"/>
          <w:sz w:val="28"/>
          <w:szCs w:val="28"/>
        </w:rPr>
        <w:t xml:space="preserve"> (</w:t>
      </w:r>
      <w:r w:rsidR="00FE638A">
        <w:rPr>
          <w:rFonts w:ascii="Times New Roman" w:hAnsi="Times New Roman" w:cs="Times New Roman"/>
          <w:sz w:val="28"/>
          <w:szCs w:val="28"/>
        </w:rPr>
        <w:t>4,</w:t>
      </w:r>
      <w:r w:rsidR="000D20F5">
        <w:rPr>
          <w:rFonts w:ascii="Times New Roman" w:hAnsi="Times New Roman" w:cs="Times New Roman"/>
          <w:sz w:val="28"/>
          <w:szCs w:val="28"/>
        </w:rPr>
        <w:t>84</w:t>
      </w:r>
      <w:r w:rsidR="00FE638A">
        <w:rPr>
          <w:rFonts w:ascii="Times New Roman" w:hAnsi="Times New Roman" w:cs="Times New Roman"/>
          <w:sz w:val="28"/>
          <w:szCs w:val="28"/>
        </w:rPr>
        <w:t xml:space="preserve"> </w:t>
      </w:r>
      <w:r w:rsidR="00FE638A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0D20F5" w:rsidRDefault="00AE7294" w:rsidP="00FE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D20F5" w:rsidRPr="00251180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="000D20F5">
        <w:rPr>
          <w:rFonts w:ascii="Times New Roman" w:hAnsi="Times New Roman" w:cs="Times New Roman"/>
          <w:sz w:val="28"/>
          <w:szCs w:val="28"/>
        </w:rPr>
        <w:t>97</w:t>
      </w:r>
      <w:r w:rsidR="000D20F5"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0F5">
        <w:rPr>
          <w:rFonts w:ascii="Times New Roman" w:hAnsi="Times New Roman" w:cs="Times New Roman"/>
          <w:sz w:val="28"/>
          <w:szCs w:val="28"/>
        </w:rPr>
        <w:t>й</w:t>
      </w:r>
      <w:r w:rsidR="000D20F5" w:rsidRPr="00251180">
        <w:rPr>
          <w:rFonts w:ascii="Times New Roman" w:hAnsi="Times New Roman" w:cs="Times New Roman"/>
          <w:sz w:val="28"/>
          <w:szCs w:val="28"/>
        </w:rPr>
        <w:t xml:space="preserve"> (</w:t>
      </w:r>
      <w:r w:rsidR="000D20F5">
        <w:rPr>
          <w:rFonts w:ascii="Times New Roman" w:hAnsi="Times New Roman" w:cs="Times New Roman"/>
          <w:sz w:val="28"/>
          <w:szCs w:val="28"/>
        </w:rPr>
        <w:t>3</w:t>
      </w:r>
      <w:r w:rsidR="000D20F5" w:rsidRPr="00251180">
        <w:rPr>
          <w:rFonts w:ascii="Times New Roman" w:hAnsi="Times New Roman" w:cs="Times New Roman"/>
          <w:sz w:val="28"/>
          <w:szCs w:val="28"/>
        </w:rPr>
        <w:t>,</w:t>
      </w:r>
      <w:r w:rsidR="000D20F5">
        <w:rPr>
          <w:rFonts w:ascii="Times New Roman" w:hAnsi="Times New Roman" w:cs="Times New Roman"/>
          <w:sz w:val="28"/>
          <w:szCs w:val="28"/>
        </w:rPr>
        <w:t xml:space="preserve">33 </w:t>
      </w:r>
      <w:r w:rsidR="000D20F5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FE638A" w:rsidRDefault="000D20F5" w:rsidP="00FE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торговля – 77</w:t>
      </w:r>
      <w:r w:rsidR="00FE638A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6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64</w:t>
      </w:r>
      <w:r w:rsidR="00FE638A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A32B31" w:rsidRDefault="005B0F63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7294">
        <w:rPr>
          <w:rFonts w:ascii="Times New Roman" w:hAnsi="Times New Roman" w:cs="Times New Roman"/>
          <w:sz w:val="28"/>
          <w:szCs w:val="28"/>
        </w:rPr>
        <w:t xml:space="preserve">) </w:t>
      </w:r>
      <w:r w:rsidR="00FE638A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FE638A" w:rsidRPr="00251180">
        <w:rPr>
          <w:rFonts w:ascii="Times New Roman" w:hAnsi="Times New Roman" w:cs="Times New Roman"/>
          <w:sz w:val="28"/>
          <w:szCs w:val="28"/>
        </w:rPr>
        <w:t xml:space="preserve"> – </w:t>
      </w:r>
      <w:r w:rsidR="00FE638A">
        <w:rPr>
          <w:rFonts w:ascii="Times New Roman" w:hAnsi="Times New Roman" w:cs="Times New Roman"/>
          <w:sz w:val="28"/>
          <w:szCs w:val="28"/>
        </w:rPr>
        <w:t>3</w:t>
      </w:r>
      <w:r w:rsidR="000D20F5">
        <w:rPr>
          <w:rFonts w:ascii="Times New Roman" w:hAnsi="Times New Roman" w:cs="Times New Roman"/>
          <w:sz w:val="28"/>
          <w:szCs w:val="28"/>
        </w:rPr>
        <w:t>7</w:t>
      </w:r>
      <w:r w:rsidR="00FE638A" w:rsidRPr="002511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638A">
        <w:rPr>
          <w:rFonts w:ascii="Times New Roman" w:hAnsi="Times New Roman" w:cs="Times New Roman"/>
          <w:sz w:val="28"/>
          <w:szCs w:val="28"/>
        </w:rPr>
        <w:t>й</w:t>
      </w:r>
      <w:r w:rsidR="00FE638A" w:rsidRPr="002511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638A" w:rsidRPr="00251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20F5">
        <w:rPr>
          <w:rFonts w:ascii="Times New Roman" w:hAnsi="Times New Roman" w:cs="Times New Roman"/>
          <w:sz w:val="28"/>
          <w:szCs w:val="28"/>
        </w:rPr>
        <w:t>3</w:t>
      </w:r>
      <w:r w:rsidR="00FE638A">
        <w:rPr>
          <w:rFonts w:ascii="Times New Roman" w:hAnsi="Times New Roman" w:cs="Times New Roman"/>
          <w:sz w:val="28"/>
          <w:szCs w:val="28"/>
        </w:rPr>
        <w:t xml:space="preserve"> </w:t>
      </w:r>
      <w:r w:rsidR="00FE638A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AE7294" w:rsidRDefault="00AE7294" w:rsidP="00AE7294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1 % от общего количества вопросов, поставленных в обращениях граждан, составляют вопросы</w:t>
      </w:r>
      <w:r w:rsidR="00A32B31">
        <w:rPr>
          <w:rFonts w:ascii="Times New Roman" w:hAnsi="Times New Roman" w:cs="Times New Roman"/>
          <w:sz w:val="28"/>
          <w:szCs w:val="28"/>
        </w:rPr>
        <w:t xml:space="preserve"> </w:t>
      </w:r>
      <w:r w:rsidRPr="00A32B31">
        <w:rPr>
          <w:rFonts w:ascii="Times New Roman" w:hAnsi="Times New Roman" w:cs="Times New Roman"/>
          <w:sz w:val="28"/>
          <w:szCs w:val="28"/>
        </w:rPr>
        <w:t xml:space="preserve">спорта, </w:t>
      </w:r>
      <w:r w:rsidR="000D20F5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A32B31">
        <w:rPr>
          <w:rFonts w:ascii="Times New Roman" w:hAnsi="Times New Roman" w:cs="Times New Roman"/>
          <w:sz w:val="28"/>
          <w:szCs w:val="28"/>
        </w:rPr>
        <w:t xml:space="preserve">, </w:t>
      </w:r>
      <w:r w:rsidR="000D20F5">
        <w:rPr>
          <w:rFonts w:ascii="Times New Roman" w:hAnsi="Times New Roman" w:cs="Times New Roman"/>
          <w:sz w:val="28"/>
          <w:szCs w:val="28"/>
        </w:rPr>
        <w:t>культуры и опеки</w:t>
      </w:r>
      <w:r w:rsidR="00A32B31">
        <w:rPr>
          <w:rFonts w:ascii="Times New Roman" w:hAnsi="Times New Roman" w:cs="Times New Roman"/>
          <w:sz w:val="28"/>
          <w:szCs w:val="28"/>
        </w:rPr>
        <w:t>.</w:t>
      </w:r>
      <w:r w:rsidR="00830182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AE7294" w:rsidRDefault="00AE7294" w:rsidP="00AE7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4E">
        <w:rPr>
          <w:rFonts w:ascii="Times New Roman" w:hAnsi="Times New Roman" w:cs="Times New Roman"/>
          <w:b/>
          <w:sz w:val="28"/>
          <w:szCs w:val="28"/>
        </w:rPr>
        <w:lastRenderedPageBreak/>
        <w:t>Тематика вопросов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9774E">
        <w:rPr>
          <w:rFonts w:ascii="Times New Roman" w:hAnsi="Times New Roman" w:cs="Times New Roman"/>
          <w:b/>
          <w:sz w:val="28"/>
          <w:szCs w:val="28"/>
        </w:rPr>
        <w:t xml:space="preserve"> поднятых в обращениях</w:t>
      </w:r>
    </w:p>
    <w:p w:rsidR="00AE7294" w:rsidRDefault="000D20F5" w:rsidP="00AE7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A0F6E1" wp14:editId="3935FC8D">
            <wp:extent cx="6120130" cy="27584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7294" w:rsidRDefault="00AE7294" w:rsidP="00AE7294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</w:t>
      </w:r>
      <w:r w:rsidR="007013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жителей остаются вопросы жилищно-коммунального хозяйства – </w:t>
      </w:r>
      <w:r w:rsidR="00C72A19">
        <w:rPr>
          <w:rFonts w:ascii="Times New Roman" w:hAnsi="Times New Roman" w:cs="Times New Roman"/>
          <w:sz w:val="28"/>
          <w:szCs w:val="28"/>
        </w:rPr>
        <w:t>5</w:t>
      </w:r>
      <w:r w:rsidR="004A28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28B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4A28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таких обращений увеличилось на </w:t>
      </w:r>
      <w:r w:rsidR="004A28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2A19">
        <w:rPr>
          <w:rFonts w:ascii="Times New Roman" w:hAnsi="Times New Roman" w:cs="Times New Roman"/>
          <w:sz w:val="28"/>
          <w:szCs w:val="28"/>
        </w:rPr>
        <w:t>6</w:t>
      </w:r>
      <w:r w:rsidR="004A28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(было 1</w:t>
      </w:r>
      <w:r w:rsidR="004A28BB">
        <w:rPr>
          <w:rFonts w:ascii="Times New Roman" w:hAnsi="Times New Roman" w:cs="Times New Roman"/>
          <w:sz w:val="28"/>
          <w:szCs w:val="28"/>
        </w:rPr>
        <w:t>667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82F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стало 1</w:t>
      </w:r>
      <w:r w:rsidR="00D82F5B">
        <w:rPr>
          <w:rFonts w:ascii="Times New Roman" w:hAnsi="Times New Roman" w:cs="Times New Roman"/>
          <w:sz w:val="28"/>
          <w:szCs w:val="28"/>
        </w:rPr>
        <w:t>7</w:t>
      </w:r>
      <w:r w:rsidR="004A28B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). Из всего спектра вопросов наиболее актуальными по количеству обращений являются вопросы ремонта дорог, прочистки ливневых канализаций, отсутствие уличного освещения</w:t>
      </w:r>
      <w:r w:rsidR="004A28BB">
        <w:rPr>
          <w:rFonts w:ascii="Times New Roman" w:hAnsi="Times New Roman" w:cs="Times New Roman"/>
          <w:sz w:val="28"/>
          <w:szCs w:val="28"/>
        </w:rPr>
        <w:t xml:space="preserve"> и отлов безнадзорных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294" w:rsidRDefault="004A28BB" w:rsidP="005D0CB3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BE3639" wp14:editId="7EE50977">
            <wp:extent cx="6050280" cy="1348740"/>
            <wp:effectExtent l="0" t="0" r="762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7294" w:rsidRDefault="00AE7294" w:rsidP="00AE7294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вопросы землепользования, они составляют </w:t>
      </w:r>
      <w:r w:rsidR="00283B70">
        <w:rPr>
          <w:rFonts w:ascii="Times New Roman" w:hAnsi="Times New Roman" w:cs="Times New Roman"/>
          <w:sz w:val="28"/>
          <w:szCs w:val="28"/>
        </w:rPr>
        <w:t>1</w:t>
      </w:r>
      <w:r w:rsidR="00D82F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F5B">
        <w:rPr>
          <w:rFonts w:ascii="Times New Roman" w:hAnsi="Times New Roman" w:cs="Times New Roman"/>
          <w:sz w:val="28"/>
          <w:szCs w:val="28"/>
        </w:rPr>
        <w:t>5</w:t>
      </w:r>
      <w:r w:rsidR="004A28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числа, </w:t>
      </w:r>
      <w:r w:rsidR="00D82F5B">
        <w:rPr>
          <w:rFonts w:ascii="Times New Roman" w:hAnsi="Times New Roman" w:cs="Times New Roman"/>
          <w:sz w:val="28"/>
          <w:szCs w:val="28"/>
        </w:rPr>
        <w:t>3</w:t>
      </w:r>
      <w:r w:rsidR="004A28BB">
        <w:rPr>
          <w:rFonts w:ascii="Times New Roman" w:hAnsi="Times New Roman" w:cs="Times New Roman"/>
          <w:sz w:val="28"/>
          <w:szCs w:val="28"/>
        </w:rPr>
        <w:t>3</w:t>
      </w:r>
      <w:r w:rsidR="00D82F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обращений. По сравнению с 202</w:t>
      </w:r>
      <w:r w:rsidR="004A28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их количество увеличилось на </w:t>
      </w:r>
      <w:r w:rsidR="004A28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28BB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4A28BB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 xml:space="preserve"> обращений в 202</w:t>
      </w:r>
      <w:r w:rsidR="004A28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году)</w:t>
      </w:r>
    </w:p>
    <w:p w:rsidR="00AE7294" w:rsidRDefault="004A28BB" w:rsidP="005D0CB3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422D1D" wp14:editId="2821DDA5">
            <wp:extent cx="6080760" cy="1348740"/>
            <wp:effectExtent l="0" t="0" r="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7294" w:rsidRPr="00AC4DBE" w:rsidRDefault="00AE7294" w:rsidP="00AE7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месте вопросы социальной защиты и социального обеспечения населения – </w:t>
      </w:r>
      <w:r w:rsidR="007505E2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505E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они составляют </w:t>
      </w:r>
      <w:r w:rsidR="007505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05E2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обращений. По сравнению с прошлым годом их количество </w:t>
      </w:r>
      <w:r w:rsidR="00D82F5B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82F5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F5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283B70">
        <w:rPr>
          <w:rFonts w:ascii="Times New Roman" w:hAnsi="Times New Roman" w:cs="Times New Roman"/>
          <w:sz w:val="28"/>
          <w:szCs w:val="28"/>
        </w:rPr>
        <w:t>1</w:t>
      </w:r>
      <w:r w:rsidR="00D82F5B">
        <w:rPr>
          <w:rFonts w:ascii="Times New Roman" w:hAnsi="Times New Roman" w:cs="Times New Roman"/>
          <w:sz w:val="28"/>
          <w:szCs w:val="28"/>
        </w:rPr>
        <w:t>67</w:t>
      </w:r>
      <w:r w:rsidR="00283B7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82F5B">
        <w:rPr>
          <w:rFonts w:ascii="Times New Roman" w:hAnsi="Times New Roman" w:cs="Times New Roman"/>
          <w:sz w:val="28"/>
          <w:szCs w:val="28"/>
        </w:rPr>
        <w:t>й</w:t>
      </w:r>
      <w:r w:rsidR="00283B70">
        <w:rPr>
          <w:rFonts w:ascii="Times New Roman" w:hAnsi="Times New Roman" w:cs="Times New Roman"/>
          <w:sz w:val="28"/>
          <w:szCs w:val="28"/>
        </w:rPr>
        <w:t xml:space="preserve"> или 6,</w:t>
      </w:r>
      <w:r w:rsidR="00D82F5B">
        <w:rPr>
          <w:rFonts w:ascii="Times New Roman" w:hAnsi="Times New Roman" w:cs="Times New Roman"/>
          <w:sz w:val="28"/>
          <w:szCs w:val="28"/>
        </w:rPr>
        <w:t>6</w:t>
      </w:r>
      <w:r w:rsidR="00283B70">
        <w:rPr>
          <w:rFonts w:ascii="Times New Roman" w:hAnsi="Times New Roman" w:cs="Times New Roman"/>
          <w:sz w:val="28"/>
          <w:szCs w:val="28"/>
        </w:rPr>
        <w:t>7 % в 202</w:t>
      </w:r>
      <w:r w:rsidR="00D82F5B">
        <w:rPr>
          <w:rFonts w:ascii="Times New Roman" w:hAnsi="Times New Roman" w:cs="Times New Roman"/>
          <w:sz w:val="28"/>
          <w:szCs w:val="28"/>
        </w:rPr>
        <w:t>2</w:t>
      </w:r>
      <w:r w:rsidR="00283B70"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2F5B">
        <w:rPr>
          <w:rFonts w:ascii="Times New Roman" w:hAnsi="Times New Roman" w:cs="Times New Roman"/>
          <w:sz w:val="28"/>
          <w:szCs w:val="28"/>
        </w:rPr>
        <w:t>32 обращения или 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F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5 % в 202</w:t>
      </w:r>
      <w:r w:rsidR="00D82F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CB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7294" w:rsidRDefault="006106C1" w:rsidP="005D0CB3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20E3A6" wp14:editId="0F1BF875">
            <wp:extent cx="6096000" cy="124206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0A04" w:rsidRDefault="00730A04" w:rsidP="0073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На четвертом месте вопросы архитектуры и градостроительства, они составляют </w:t>
      </w:r>
      <w:r w:rsidR="00CF03C6">
        <w:rPr>
          <w:rFonts w:ascii="Times New Roman" w:hAnsi="Times New Roman" w:cs="Times New Roman"/>
          <w:color w:val="000000"/>
          <w:sz w:val="28"/>
          <w:szCs w:val="28"/>
          <w:lang w:bidi="ru-RU"/>
        </w:rPr>
        <w:t>5,38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%, 1</w:t>
      </w:r>
      <w:r w:rsidR="00CF03C6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 обращени</w:t>
      </w:r>
      <w:r w:rsidR="00CF03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их количество </w:t>
      </w:r>
      <w:r w:rsidR="00CF03C6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F03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,2</w:t>
      </w:r>
      <w:r w:rsidR="00CF03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CF03C6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03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F0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730A04" w:rsidRDefault="00CF03C6" w:rsidP="00730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3C7B21" wp14:editId="6678E8D2">
            <wp:extent cx="6065520" cy="118872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7294" w:rsidRDefault="00AE7294" w:rsidP="00AE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осуществления муниципального контроля в отчетном периоде поступило 1</w:t>
      </w:r>
      <w:r w:rsidR="00CF03C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03C6">
        <w:rPr>
          <w:rFonts w:ascii="Times New Roman" w:hAnsi="Times New Roman" w:cs="Times New Roman"/>
          <w:sz w:val="28"/>
          <w:szCs w:val="28"/>
        </w:rPr>
        <w:t>е</w:t>
      </w:r>
      <w:r w:rsidR="001C385E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730A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03C6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1C385E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3C6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F03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03C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% (1</w:t>
      </w:r>
      <w:r w:rsidR="00CF03C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0A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F0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5D0CB3" w:rsidRDefault="00CF03C6" w:rsidP="005D0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B714B0" wp14:editId="70B2A09D">
            <wp:extent cx="6027420" cy="128016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4AAC" w:rsidRDefault="00D24AAC" w:rsidP="00D24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CF03C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поступило 9</w:t>
      </w:r>
      <w:r w:rsidR="00CF03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обращений, что составило 3,3</w:t>
      </w:r>
      <w:r w:rsidR="00CF0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обращений. Увеличение составило      2</w:t>
      </w:r>
      <w:r w:rsidR="00CF03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03C6">
        <w:rPr>
          <w:rFonts w:ascii="Times New Roman" w:hAnsi="Times New Roman" w:cs="Times New Roman"/>
          <w:sz w:val="28"/>
          <w:szCs w:val="28"/>
        </w:rPr>
        <w:t>74 % (73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03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F03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году). </w:t>
      </w:r>
    </w:p>
    <w:p w:rsidR="00D24AAC" w:rsidRDefault="00CF03C6" w:rsidP="00DA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E0942" wp14:editId="18507A39">
            <wp:extent cx="6141720" cy="1234440"/>
            <wp:effectExtent l="0" t="0" r="0" b="38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7E75" w:rsidRDefault="00AE7294" w:rsidP="00AE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проведению приемов граждан по личным вопросам главой Минераловодского </w:t>
      </w:r>
      <w:r w:rsidR="00D24AA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24AAC">
        <w:rPr>
          <w:rFonts w:ascii="Times New Roman" w:hAnsi="Times New Roman" w:cs="Times New Roman"/>
          <w:sz w:val="28"/>
          <w:szCs w:val="28"/>
        </w:rPr>
        <w:t xml:space="preserve"> Ставропольского края и</w:t>
      </w:r>
      <w:r>
        <w:rPr>
          <w:rFonts w:ascii="Times New Roman" w:hAnsi="Times New Roman" w:cs="Times New Roman"/>
          <w:sz w:val="28"/>
          <w:szCs w:val="28"/>
        </w:rPr>
        <w:t xml:space="preserve"> его заместителями. В 202</w:t>
      </w:r>
      <w:r w:rsidR="00127E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принято </w:t>
      </w:r>
      <w:r w:rsidR="00127E02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D293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27E0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7E0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127E02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в 202</w:t>
      </w:r>
      <w:r w:rsidR="00127E02">
        <w:rPr>
          <w:rFonts w:ascii="Times New Roman" w:hAnsi="Times New Roman" w:cs="Times New Roman"/>
          <w:sz w:val="28"/>
          <w:szCs w:val="28"/>
        </w:rPr>
        <w:t>3</w:t>
      </w:r>
      <w:r w:rsidR="000D2939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127E02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27E0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 всем обращениям даны конкретные поручения и разъяснения, при необходимости о результатах авторы информированы письменно. </w:t>
      </w:r>
    </w:p>
    <w:p w:rsidR="00AE7294" w:rsidRDefault="00127E02" w:rsidP="00B37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F34CBA" wp14:editId="3C832AA2">
            <wp:extent cx="6120130" cy="177990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E7294" w:rsidRDefault="00AE7294" w:rsidP="00AE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294" w:rsidRDefault="00AE7294" w:rsidP="00AE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«Телефоном доверия главы Минераловодского</w:t>
      </w:r>
      <w:r w:rsidR="00D24AA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24AA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 в 202</w:t>
      </w:r>
      <w:r w:rsidR="00282384">
        <w:rPr>
          <w:rFonts w:ascii="Times New Roman" w:hAnsi="Times New Roman" w:cs="Times New Roman"/>
          <w:sz w:val="28"/>
          <w:szCs w:val="28"/>
        </w:rPr>
        <w:t>4</w:t>
      </w:r>
      <w:r w:rsidR="003963A1">
        <w:rPr>
          <w:rFonts w:ascii="Times New Roman" w:hAnsi="Times New Roman" w:cs="Times New Roman"/>
          <w:sz w:val="28"/>
          <w:szCs w:val="28"/>
        </w:rPr>
        <w:t xml:space="preserve"> году воспользовал</w:t>
      </w:r>
      <w:r w:rsidR="00104111">
        <w:rPr>
          <w:rFonts w:ascii="Times New Roman" w:hAnsi="Times New Roman" w:cs="Times New Roman"/>
          <w:sz w:val="28"/>
          <w:szCs w:val="28"/>
        </w:rPr>
        <w:t>ись</w:t>
      </w:r>
      <w:r w:rsidR="003963A1">
        <w:rPr>
          <w:rFonts w:ascii="Times New Roman" w:hAnsi="Times New Roman" w:cs="Times New Roman"/>
          <w:sz w:val="28"/>
          <w:szCs w:val="28"/>
        </w:rPr>
        <w:t xml:space="preserve"> 2</w:t>
      </w:r>
      <w:r w:rsidR="00282384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человек, по сравнению с 202</w:t>
      </w:r>
      <w:r w:rsidR="002823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таких обращений </w:t>
      </w:r>
      <w:r w:rsidR="003963A1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24AA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AAC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% (в 202</w:t>
      </w:r>
      <w:r w:rsidR="00D24A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D24AAC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4AA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7294" w:rsidRDefault="001A6B44" w:rsidP="00104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F99725" wp14:editId="2BCC551B">
            <wp:extent cx="6042660" cy="1325880"/>
            <wp:effectExtent l="0" t="0" r="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966F6" w:rsidRDefault="00F966F6" w:rsidP="00F9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A7363">
        <w:rPr>
          <w:rFonts w:ascii="Times New Roman" w:hAnsi="Times New Roman" w:cs="Times New Roman"/>
          <w:sz w:val="28"/>
          <w:szCs w:val="28"/>
        </w:rPr>
        <w:t>041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ответ. Положительное решение принято по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0F048F">
        <w:rPr>
          <w:rFonts w:ascii="Times New Roman" w:hAnsi="Times New Roman" w:cs="Times New Roman"/>
          <w:sz w:val="28"/>
          <w:szCs w:val="28"/>
        </w:rPr>
        <w:t>9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F5D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04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048F">
        <w:rPr>
          <w:rFonts w:ascii="Times New Roman" w:hAnsi="Times New Roman" w:cs="Times New Roman"/>
          <w:sz w:val="28"/>
          <w:szCs w:val="28"/>
        </w:rPr>
        <w:t>8</w:t>
      </w:r>
      <w:r w:rsidR="00DA46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числа),</w:t>
      </w:r>
      <w:r w:rsidRPr="003F5D7E">
        <w:rPr>
          <w:rFonts w:ascii="Times New Roman" w:hAnsi="Times New Roman" w:cs="Times New Roman"/>
          <w:sz w:val="28"/>
          <w:szCs w:val="28"/>
        </w:rPr>
        <w:t xml:space="preserve"> </w:t>
      </w:r>
      <w:r w:rsidR="00DA4687">
        <w:rPr>
          <w:rFonts w:ascii="Times New Roman" w:hAnsi="Times New Roman" w:cs="Times New Roman"/>
          <w:sz w:val="28"/>
          <w:szCs w:val="28"/>
        </w:rPr>
        <w:t>2</w:t>
      </w:r>
      <w:r w:rsidR="000F048F">
        <w:rPr>
          <w:rFonts w:ascii="Times New Roman" w:hAnsi="Times New Roman" w:cs="Times New Roman"/>
          <w:sz w:val="28"/>
          <w:szCs w:val="28"/>
        </w:rPr>
        <w:t>614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0F048F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4687">
        <w:rPr>
          <w:rFonts w:ascii="Times New Roman" w:hAnsi="Times New Roman" w:cs="Times New Roman"/>
          <w:sz w:val="28"/>
          <w:szCs w:val="28"/>
        </w:rPr>
        <w:t>9</w:t>
      </w:r>
      <w:r w:rsidR="000F04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>
        <w:rPr>
          <w:rFonts w:ascii="Times New Roman" w:hAnsi="Times New Roman" w:cs="Times New Roman"/>
          <w:sz w:val="28"/>
          <w:szCs w:val="28"/>
        </w:rPr>
        <w:t>разъяснительный ха</w:t>
      </w:r>
      <w:r w:rsidR="00DA4687">
        <w:rPr>
          <w:rFonts w:ascii="Times New Roman" w:hAnsi="Times New Roman" w:cs="Times New Roman"/>
          <w:sz w:val="28"/>
          <w:szCs w:val="28"/>
        </w:rPr>
        <w:t xml:space="preserve">рактер. Авторам </w:t>
      </w:r>
      <w:r w:rsidR="000F048F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82BF6">
        <w:rPr>
          <w:rFonts w:ascii="Times New Roman" w:hAnsi="Times New Roman" w:cs="Times New Roman"/>
          <w:sz w:val="28"/>
          <w:szCs w:val="28"/>
        </w:rPr>
        <w:t>(</w:t>
      </w:r>
      <w:r w:rsidR="000F048F">
        <w:rPr>
          <w:rFonts w:ascii="Times New Roman" w:hAnsi="Times New Roman" w:cs="Times New Roman"/>
          <w:sz w:val="28"/>
          <w:szCs w:val="28"/>
        </w:rPr>
        <w:t>3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0F048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 или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048F">
        <w:rPr>
          <w:rFonts w:ascii="Times New Roman" w:hAnsi="Times New Roman" w:cs="Times New Roman"/>
          <w:sz w:val="28"/>
          <w:szCs w:val="28"/>
        </w:rPr>
        <w:t>4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DA4687">
        <w:rPr>
          <w:rFonts w:ascii="Times New Roman" w:hAnsi="Times New Roman" w:cs="Times New Roman"/>
          <w:sz w:val="28"/>
          <w:szCs w:val="28"/>
        </w:rPr>
        <w:t>1</w:t>
      </w:r>
      <w:r w:rsidR="000F048F">
        <w:rPr>
          <w:rFonts w:ascii="Times New Roman" w:hAnsi="Times New Roman" w:cs="Times New Roman"/>
          <w:sz w:val="28"/>
          <w:szCs w:val="28"/>
        </w:rPr>
        <w:t>17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  <w:r>
        <w:rPr>
          <w:rFonts w:ascii="Times New Roman" w:hAnsi="Times New Roman" w:cs="Times New Roman"/>
          <w:sz w:val="28"/>
          <w:szCs w:val="28"/>
        </w:rPr>
        <w:t xml:space="preserve"> На доп</w:t>
      </w:r>
      <w:r w:rsidR="00DA4687">
        <w:rPr>
          <w:rFonts w:ascii="Times New Roman" w:hAnsi="Times New Roman" w:cs="Times New Roman"/>
          <w:sz w:val="28"/>
          <w:szCs w:val="28"/>
        </w:rPr>
        <w:t xml:space="preserve">олнительном контроле находятся </w:t>
      </w:r>
      <w:r w:rsidR="000F048F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F966F6" w:rsidRDefault="00F966F6" w:rsidP="00AE7294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5C" w:rsidRDefault="000F048F" w:rsidP="003C635C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2CB568" wp14:editId="12F95EB2">
            <wp:extent cx="6073140" cy="1882140"/>
            <wp:effectExtent l="0" t="0" r="3810" b="381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05FDF" w:rsidRDefault="00205FDF" w:rsidP="00205FDF">
      <w:pPr>
        <w:tabs>
          <w:tab w:val="left" w:pos="2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94" w:rsidRDefault="00AE7294" w:rsidP="00AE72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209A">
        <w:rPr>
          <w:rFonts w:ascii="Times New Roman" w:eastAsia="Times New Roman" w:hAnsi="Times New Roman" w:cs="Times New Roman"/>
          <w:sz w:val="28"/>
          <w:szCs w:val="28"/>
        </w:rPr>
        <w:t>о исполнение Указа Президента Российской Федерации от 17</w:t>
      </w:r>
      <w:r w:rsidR="00857DAA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14209A"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5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4209A">
        <w:rPr>
          <w:rFonts w:ascii="Times New Roman" w:eastAsia="Times New Roman" w:hAnsi="Times New Roman" w:cs="Times New Roman"/>
          <w:sz w:val="28"/>
          <w:szCs w:val="28"/>
        </w:rPr>
        <w:t xml:space="preserve"> № 171 «О мониторинге и анализе результатов рассмотрения обращений граждан и организаций» размеща</w:t>
      </w:r>
      <w:r w:rsidR="00104111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14209A">
        <w:rPr>
          <w:rFonts w:ascii="Times New Roman" w:eastAsia="Times New Roman" w:hAnsi="Times New Roman" w:cs="Times New Roman"/>
          <w:sz w:val="28"/>
          <w:szCs w:val="28"/>
        </w:rPr>
        <w:t xml:space="preserve"> результаты рассмотрения обращений граждан</w:t>
      </w:r>
      <w:r w:rsidR="001041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4111" w:rsidRPr="0010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111">
        <w:rPr>
          <w:rFonts w:ascii="Times New Roman" w:eastAsia="Times New Roman" w:hAnsi="Times New Roman" w:cs="Times New Roman"/>
          <w:sz w:val="28"/>
          <w:szCs w:val="28"/>
        </w:rPr>
        <w:t>поступивших в Администрацию непосредственно, а так</w:t>
      </w:r>
      <w:r w:rsidR="009C32DF">
        <w:rPr>
          <w:rFonts w:ascii="Times New Roman" w:eastAsia="Times New Roman" w:hAnsi="Times New Roman" w:cs="Times New Roman"/>
          <w:sz w:val="28"/>
          <w:szCs w:val="28"/>
        </w:rPr>
        <w:t>же обращений, перенаправленных аппаратом Правительства Ставропольского края и другими выше стоящими организациями,</w:t>
      </w:r>
      <w:r w:rsidRPr="0014209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04111">
        <w:rPr>
          <w:rFonts w:ascii="Times New Roman" w:eastAsia="Times New Roman" w:hAnsi="Times New Roman" w:cs="Times New Roman"/>
          <w:sz w:val="28"/>
          <w:szCs w:val="28"/>
        </w:rPr>
        <w:t xml:space="preserve"> закрытой сети портала </w:t>
      </w:r>
      <w:proofErr w:type="spellStart"/>
      <w:r w:rsidR="00104111">
        <w:rPr>
          <w:rFonts w:ascii="Times New Roman" w:eastAsia="Times New Roman" w:hAnsi="Times New Roman" w:cs="Times New Roman"/>
          <w:sz w:val="28"/>
          <w:szCs w:val="28"/>
        </w:rPr>
        <w:t>ССТУ.рф</w:t>
      </w:r>
      <w:proofErr w:type="spellEnd"/>
      <w:r w:rsidR="00104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294" w:rsidRDefault="009C32DF" w:rsidP="00AE72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</w:t>
      </w:r>
      <w:r w:rsidR="00AE7294" w:rsidRPr="0014209A">
        <w:rPr>
          <w:rFonts w:ascii="Times New Roman" w:hAnsi="Times New Roman" w:cs="Times New Roman"/>
          <w:sz w:val="28"/>
          <w:szCs w:val="28"/>
        </w:rPr>
        <w:t>алаживани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диалога между властью и населением,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E7294" w:rsidRPr="0014209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системы мониторинга общественного мнения по самым актуальным вопросам жизни Минераловодского </w:t>
      </w:r>
      <w:r w:rsidR="00857DAA">
        <w:rPr>
          <w:rFonts w:ascii="Times New Roman" w:hAnsi="Times New Roman" w:cs="Times New Roman"/>
          <w:sz w:val="28"/>
          <w:szCs w:val="28"/>
        </w:rPr>
        <w:t>муниципального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57DA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209A">
        <w:rPr>
          <w:rFonts w:ascii="Times New Roman" w:hAnsi="Times New Roman" w:cs="Times New Roman"/>
          <w:sz w:val="28"/>
          <w:szCs w:val="28"/>
        </w:rPr>
        <w:t xml:space="preserve"> ноября 2020 года </w:t>
      </w:r>
      <w:r w:rsidRPr="000F63E3">
        <w:rPr>
          <w:rFonts w:ascii="Times New Roman" w:hAnsi="Times New Roman" w:cs="Times New Roman"/>
          <w:sz w:val="28"/>
          <w:szCs w:val="28"/>
        </w:rPr>
        <w:t xml:space="preserve">в Ставропольском крае </w:t>
      </w:r>
      <w:r w:rsidRPr="0014209A">
        <w:rPr>
          <w:rFonts w:ascii="Times New Roman" w:hAnsi="Times New Roman" w:cs="Times New Roman"/>
          <w:sz w:val="28"/>
          <w:szCs w:val="28"/>
        </w:rPr>
        <w:t xml:space="preserve">начала свою </w:t>
      </w:r>
      <w:r>
        <w:rPr>
          <w:rFonts w:ascii="Times New Roman" w:hAnsi="Times New Roman" w:cs="Times New Roman"/>
          <w:sz w:val="28"/>
          <w:szCs w:val="28"/>
        </w:rPr>
        <w:t xml:space="preserve">работу платформа обратной связи </w:t>
      </w:r>
      <w:r w:rsidRPr="000F63E3">
        <w:rPr>
          <w:rFonts w:ascii="Times New Roman" w:hAnsi="Times New Roman" w:cs="Times New Roman"/>
          <w:sz w:val="28"/>
          <w:szCs w:val="28"/>
        </w:rPr>
        <w:t>(ПОС) как элемент центра управления регионом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платформа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позволяет власти выяв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узловые проблемы, 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эффективные управленч</w:t>
      </w:r>
      <w:r>
        <w:rPr>
          <w:rFonts w:ascii="Times New Roman" w:hAnsi="Times New Roman" w:cs="Times New Roman"/>
          <w:sz w:val="28"/>
          <w:szCs w:val="28"/>
        </w:rPr>
        <w:t>еские решения, значительно повышать</w:t>
      </w:r>
      <w:r w:rsidR="00AE7294" w:rsidRPr="0014209A">
        <w:rPr>
          <w:rFonts w:ascii="Times New Roman" w:hAnsi="Times New Roman" w:cs="Times New Roman"/>
          <w:sz w:val="28"/>
          <w:szCs w:val="28"/>
        </w:rPr>
        <w:t xml:space="preserve"> уровень доверия.</w:t>
      </w:r>
      <w:r w:rsidR="00AE7294" w:rsidRPr="000F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294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="00AE7294">
        <w:rPr>
          <w:rFonts w:ascii="Times New Roman" w:hAnsi="Times New Roman" w:cs="Times New Roman"/>
          <w:sz w:val="28"/>
          <w:szCs w:val="28"/>
        </w:rPr>
        <w:t xml:space="preserve"> подачи обращения размещены на официальных </w:t>
      </w:r>
      <w:r w:rsidR="00AE7294">
        <w:rPr>
          <w:rFonts w:ascii="Times New Roman" w:hAnsi="Times New Roman" w:cs="Times New Roman"/>
          <w:sz w:val="28"/>
          <w:szCs w:val="28"/>
        </w:rPr>
        <w:lastRenderedPageBreak/>
        <w:t>сайтах органов исполнительной власти Ставропольского края и администраций муниципальных районов и городских округов Ставропольского края в информационно-телекоммуникационной сети Интернет.</w:t>
      </w:r>
      <w:r w:rsidR="00AE7294" w:rsidRPr="000F63E3">
        <w:rPr>
          <w:rFonts w:ascii="Times New Roman" w:hAnsi="Times New Roman" w:cs="Times New Roman"/>
          <w:sz w:val="28"/>
          <w:szCs w:val="28"/>
        </w:rPr>
        <w:t xml:space="preserve"> На постоянной основе в администрации объективно и своевременно рассматриваются сообщения, поступившие от граждан посредством ПОС.</w:t>
      </w:r>
    </w:p>
    <w:p w:rsidR="00E71C3F" w:rsidRDefault="00AE7294" w:rsidP="00AE7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E02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92A">
        <w:rPr>
          <w:rFonts w:ascii="Times New Roman" w:hAnsi="Times New Roman" w:cs="Times New Roman"/>
          <w:sz w:val="28"/>
          <w:szCs w:val="28"/>
        </w:rPr>
        <w:t>год</w:t>
      </w:r>
      <w:r w:rsidR="00603B62">
        <w:rPr>
          <w:rFonts w:ascii="Times New Roman" w:hAnsi="Times New Roman" w:cs="Times New Roman"/>
          <w:sz w:val="28"/>
          <w:szCs w:val="28"/>
        </w:rPr>
        <w:t xml:space="preserve">у в администрацию поступило </w:t>
      </w:r>
      <w:r w:rsidR="00EE02C3">
        <w:rPr>
          <w:rFonts w:ascii="Times New Roman" w:hAnsi="Times New Roman" w:cs="Times New Roman"/>
          <w:sz w:val="28"/>
          <w:szCs w:val="28"/>
        </w:rPr>
        <w:t>1703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03B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поданных с использованием данной электронной платформы. </w:t>
      </w:r>
    </w:p>
    <w:p w:rsid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обращений, поступивших через платформу обратной связи, в основном представлена следующими вопросами:</w:t>
      </w:r>
    </w:p>
    <w:p w:rsidR="00E71C3F" w:rsidRPr="00E71C3F" w:rsidRDefault="00E71C3F" w:rsidP="00E71C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>образование – 1024 обращения (60,13 %);</w:t>
      </w:r>
    </w:p>
    <w:p w:rsidR="00E71C3F" w:rsidRDefault="00E71C3F" w:rsidP="00E71C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– 155 обращений (9,10%);</w:t>
      </w:r>
    </w:p>
    <w:p w:rsidR="00E71C3F" w:rsidRDefault="00E71C3F" w:rsidP="00E71C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дворы и территории общего пользования – 147 обращений (8,63%);</w:t>
      </w:r>
    </w:p>
    <w:p w:rsidR="00E71C3F" w:rsidRDefault="00E71C3F" w:rsidP="00E71C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– 127 обращений (7,46%);</w:t>
      </w:r>
    </w:p>
    <w:p w:rsidR="00E71C3F" w:rsidRDefault="00E71C3F" w:rsidP="00E71C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– 70 обращений (4,11%);</w:t>
      </w:r>
    </w:p>
    <w:p w:rsidR="00E71C3F" w:rsidRDefault="00E71C3F" w:rsidP="00E71C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ветеринария (отлов животных) – 37 обращений (2,17%);</w:t>
      </w:r>
    </w:p>
    <w:p w:rsidR="00E71C3F" w:rsidRDefault="00E71C3F" w:rsidP="00E71C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</w:t>
      </w:r>
      <w:r w:rsidR="00555990">
        <w:rPr>
          <w:rFonts w:ascii="Times New Roman" w:hAnsi="Times New Roman" w:cs="Times New Roman"/>
          <w:sz w:val="28"/>
          <w:szCs w:val="28"/>
        </w:rPr>
        <w:t>рные дома – 29 обращений (1,7%);</w:t>
      </w:r>
    </w:p>
    <w:p w:rsidR="00555990" w:rsidRDefault="00555990" w:rsidP="00E71C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транспорт – 17 обращений (1%);</w:t>
      </w:r>
    </w:p>
    <w:p w:rsidR="00555990" w:rsidRDefault="00555990" w:rsidP="0055599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1% от общего количества вопросов, поставленных в обращениях, составляют вопросы водоснабжения, электроснабжения, работы МФЦ, социального обслуживания, строительства, экологии, торговли, погребения и похоронного дела.</w:t>
      </w:r>
      <w:r w:rsidR="00830182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bookmarkStart w:id="0" w:name="_GoBack"/>
      <w:bookmarkEnd w:id="0"/>
    </w:p>
    <w:p w:rsidR="00555990" w:rsidRPr="00E71C3F" w:rsidRDefault="00555990" w:rsidP="0055599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всплеск обращений по вопросам образования связан с проблемами с которыми столкнулись жители округа при попытке войти в электронный журнал своих детей через государственные услуги.</w:t>
      </w:r>
    </w:p>
    <w:p w:rsidR="00AE7294" w:rsidRPr="009A76CB" w:rsidRDefault="00527A1F" w:rsidP="00DB7463">
      <w:pPr>
        <w:spacing w:after="0"/>
        <w:jc w:val="both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2D7E1A89" wp14:editId="1030717C">
            <wp:extent cx="6120130" cy="4035425"/>
            <wp:effectExtent l="0" t="0" r="0" b="317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7294" w:rsidRDefault="00AE7294" w:rsidP="00AE72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294" w:rsidRDefault="00AE7294" w:rsidP="00AE7294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C0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проведенного анализа работы с обращениями граждан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44FDD">
        <w:rPr>
          <w:rFonts w:ascii="Times New Roman" w:hAnsi="Times New Roman" w:cs="Times New Roman"/>
          <w:sz w:val="28"/>
          <w:szCs w:val="28"/>
        </w:rPr>
        <w:t>2</w:t>
      </w:r>
      <w:r w:rsidR="00237A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5B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7A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C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ах, можно сделать вывод о том, что</w:t>
      </w:r>
      <w:r w:rsidR="00E44FDD">
        <w:rPr>
          <w:rFonts w:ascii="Times New Roman" w:hAnsi="Times New Roman" w:cs="Times New Roman"/>
          <w:sz w:val="28"/>
          <w:szCs w:val="28"/>
        </w:rPr>
        <w:t xml:space="preserve"> наблюдается стабильное увеличение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FDD"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в ходе проведения личных приемов и прямых линий с главой Минераловодского </w:t>
      </w:r>
      <w:r w:rsidR="00237AB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37AB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сообщений, направленных посредством платформы обратной связи. Наиболее злободневными для жителей остаются вопросы жилищно-коммунального хозяйства, такие как ремонт дорог, комплексное благоустройство, прочистка ливневой канализации, отсутствие уличного освещения</w:t>
      </w:r>
      <w:r w:rsidR="00555990">
        <w:rPr>
          <w:rFonts w:ascii="Times New Roman" w:hAnsi="Times New Roman" w:cs="Times New Roman"/>
          <w:sz w:val="28"/>
          <w:szCs w:val="28"/>
        </w:rPr>
        <w:t xml:space="preserve"> и отлов безнадзорных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294" w:rsidRDefault="00AE7294" w:rsidP="00AE7294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EAB" w:rsidRDefault="00652EAB" w:rsidP="00AE7294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EAB" w:rsidRDefault="00652EAB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руководителя отдела по </w:t>
      </w:r>
    </w:p>
    <w:p w:rsidR="00CD4B3A" w:rsidRDefault="00652EAB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организационным и общим вопросам</w:t>
      </w:r>
      <w:r w:rsidR="00CD4B3A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CD4B3A" w:rsidRDefault="00CD4B3A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Минераловодского муниципального округа </w:t>
      </w:r>
    </w:p>
    <w:p w:rsidR="00AE7294" w:rsidRDefault="00CD4B3A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652EA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652EAB">
        <w:rPr>
          <w:rFonts w:ascii="Times New Roman" w:hAnsi="Times New Roman" w:cs="Times New Roman"/>
          <w:bCs/>
          <w:sz w:val="28"/>
          <w:szCs w:val="28"/>
        </w:rPr>
        <w:t xml:space="preserve">                              А. В. Баженова</w:t>
      </w:r>
    </w:p>
    <w:p w:rsidR="00966555" w:rsidRDefault="00966555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EAB" w:rsidRDefault="00652EAB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2EAB" w:rsidRDefault="00652EAB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:rsidR="00652EAB" w:rsidRPr="00586226" w:rsidRDefault="00652EAB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294" w:rsidRPr="00586226" w:rsidRDefault="00E44FDD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  <w:r w:rsidR="00AE7294" w:rsidRPr="00586226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AE7294" w:rsidRPr="00586226" w:rsidRDefault="00AE7294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226">
        <w:rPr>
          <w:rFonts w:ascii="Times New Roman" w:hAnsi="Times New Roman" w:cs="Times New Roman"/>
          <w:bCs/>
          <w:sz w:val="28"/>
          <w:szCs w:val="28"/>
        </w:rPr>
        <w:t xml:space="preserve">Минераловодского </w:t>
      </w:r>
      <w:r w:rsidR="00CD4B3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86226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AE7294" w:rsidRPr="00586226" w:rsidRDefault="00AE7294" w:rsidP="00AE72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226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58622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44FD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8622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44FDD">
        <w:rPr>
          <w:rFonts w:ascii="Times New Roman" w:hAnsi="Times New Roman" w:cs="Times New Roman"/>
          <w:bCs/>
          <w:sz w:val="28"/>
          <w:szCs w:val="28"/>
        </w:rPr>
        <w:t>Е. В. Лысенко</w:t>
      </w:r>
    </w:p>
    <w:p w:rsidR="00AE7294" w:rsidRDefault="00AE7294" w:rsidP="00A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472" w:rsidRDefault="00DB6472" w:rsidP="00A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472" w:rsidRDefault="00DB6472" w:rsidP="00A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472" w:rsidRDefault="00DB6472" w:rsidP="00A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6472" w:rsidSect="00A32B31">
      <w:headerReference w:type="default" r:id="rId21"/>
      <w:pgSz w:w="11906" w:h="16838"/>
      <w:pgMar w:top="398" w:right="567" w:bottom="709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AB" w:rsidRDefault="003455AB" w:rsidP="00A31D70">
      <w:pPr>
        <w:spacing w:after="0" w:line="240" w:lineRule="auto"/>
      </w:pPr>
      <w:r>
        <w:separator/>
      </w:r>
    </w:p>
  </w:endnote>
  <w:endnote w:type="continuationSeparator" w:id="0">
    <w:p w:rsidR="003455AB" w:rsidRDefault="003455AB" w:rsidP="00A3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AB" w:rsidRDefault="003455AB" w:rsidP="00A31D70">
      <w:pPr>
        <w:spacing w:after="0" w:line="240" w:lineRule="auto"/>
      </w:pPr>
      <w:r>
        <w:separator/>
      </w:r>
    </w:p>
  </w:footnote>
  <w:footnote w:type="continuationSeparator" w:id="0">
    <w:p w:rsidR="003455AB" w:rsidRDefault="003455AB" w:rsidP="00A3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097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1D70" w:rsidRDefault="00A31D70">
        <w:pPr>
          <w:pStyle w:val="a3"/>
          <w:jc w:val="center"/>
        </w:pPr>
        <w:r w:rsidRPr="00F64AD2">
          <w:rPr>
            <w:rFonts w:ascii="Times New Roman" w:hAnsi="Times New Roman" w:cs="Times New Roman"/>
          </w:rPr>
          <w:fldChar w:fldCharType="begin"/>
        </w:r>
        <w:r w:rsidRPr="00F64AD2">
          <w:rPr>
            <w:rFonts w:ascii="Times New Roman" w:hAnsi="Times New Roman" w:cs="Times New Roman"/>
          </w:rPr>
          <w:instrText>PAGE   \* MERGEFORMAT</w:instrText>
        </w:r>
        <w:r w:rsidRPr="00F64AD2">
          <w:rPr>
            <w:rFonts w:ascii="Times New Roman" w:hAnsi="Times New Roman" w:cs="Times New Roman"/>
          </w:rPr>
          <w:fldChar w:fldCharType="separate"/>
        </w:r>
        <w:r w:rsidR="00830182">
          <w:rPr>
            <w:rFonts w:ascii="Times New Roman" w:hAnsi="Times New Roman" w:cs="Times New Roman"/>
            <w:noProof/>
          </w:rPr>
          <w:t>8</w:t>
        </w:r>
        <w:r w:rsidRPr="00F64AD2">
          <w:rPr>
            <w:rFonts w:ascii="Times New Roman" w:hAnsi="Times New Roman" w:cs="Times New Roman"/>
          </w:rPr>
          <w:fldChar w:fldCharType="end"/>
        </w:r>
      </w:p>
    </w:sdtContent>
  </w:sdt>
  <w:p w:rsidR="00A31D70" w:rsidRDefault="00A31D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3C0D"/>
    <w:multiLevelType w:val="hybridMultilevel"/>
    <w:tmpl w:val="11D22B9C"/>
    <w:lvl w:ilvl="0" w:tplc="857C8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3333A6"/>
    <w:multiLevelType w:val="hybridMultilevel"/>
    <w:tmpl w:val="2D22E5D2"/>
    <w:lvl w:ilvl="0" w:tplc="F6002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70"/>
    <w:rsid w:val="00011A92"/>
    <w:rsid w:val="000216E6"/>
    <w:rsid w:val="0002492A"/>
    <w:rsid w:val="00061F7E"/>
    <w:rsid w:val="000A2354"/>
    <w:rsid w:val="000B3D3B"/>
    <w:rsid w:val="000D20F5"/>
    <w:rsid w:val="000D2939"/>
    <w:rsid w:val="000D54CF"/>
    <w:rsid w:val="000F048F"/>
    <w:rsid w:val="00104111"/>
    <w:rsid w:val="00127E02"/>
    <w:rsid w:val="0014322C"/>
    <w:rsid w:val="001502B1"/>
    <w:rsid w:val="001973C8"/>
    <w:rsid w:val="001A4D26"/>
    <w:rsid w:val="001A6B44"/>
    <w:rsid w:val="001C385E"/>
    <w:rsid w:val="001E2439"/>
    <w:rsid w:val="00205FDF"/>
    <w:rsid w:val="00207467"/>
    <w:rsid w:val="00237AB5"/>
    <w:rsid w:val="00282384"/>
    <w:rsid w:val="00283B70"/>
    <w:rsid w:val="002A6E38"/>
    <w:rsid w:val="002C20D7"/>
    <w:rsid w:val="002D2622"/>
    <w:rsid w:val="003455AB"/>
    <w:rsid w:val="00365A13"/>
    <w:rsid w:val="003963A1"/>
    <w:rsid w:val="003B3AD1"/>
    <w:rsid w:val="003C635C"/>
    <w:rsid w:val="003F4336"/>
    <w:rsid w:val="00433E0E"/>
    <w:rsid w:val="004932A8"/>
    <w:rsid w:val="004A28BB"/>
    <w:rsid w:val="004A3797"/>
    <w:rsid w:val="004B02E9"/>
    <w:rsid w:val="004D1035"/>
    <w:rsid w:val="00527A1F"/>
    <w:rsid w:val="00536D6E"/>
    <w:rsid w:val="00555990"/>
    <w:rsid w:val="0058531A"/>
    <w:rsid w:val="005A7363"/>
    <w:rsid w:val="005B0F63"/>
    <w:rsid w:val="005C2BCB"/>
    <w:rsid w:val="005D0CB3"/>
    <w:rsid w:val="005D4DAD"/>
    <w:rsid w:val="005F1DEF"/>
    <w:rsid w:val="00603B62"/>
    <w:rsid w:val="006106C1"/>
    <w:rsid w:val="00652EAB"/>
    <w:rsid w:val="0067325E"/>
    <w:rsid w:val="00685266"/>
    <w:rsid w:val="006E3EA3"/>
    <w:rsid w:val="0070138E"/>
    <w:rsid w:val="00710C75"/>
    <w:rsid w:val="00730A04"/>
    <w:rsid w:val="007505E2"/>
    <w:rsid w:val="007B7DF7"/>
    <w:rsid w:val="00830182"/>
    <w:rsid w:val="00837946"/>
    <w:rsid w:val="00857DAA"/>
    <w:rsid w:val="008742C3"/>
    <w:rsid w:val="008F4A9B"/>
    <w:rsid w:val="00955E19"/>
    <w:rsid w:val="00966555"/>
    <w:rsid w:val="00980A38"/>
    <w:rsid w:val="009906A9"/>
    <w:rsid w:val="009A33EE"/>
    <w:rsid w:val="009C32DF"/>
    <w:rsid w:val="009C39C0"/>
    <w:rsid w:val="009F41E0"/>
    <w:rsid w:val="00A100CD"/>
    <w:rsid w:val="00A22608"/>
    <w:rsid w:val="00A31D70"/>
    <w:rsid w:val="00A32B31"/>
    <w:rsid w:val="00A8760B"/>
    <w:rsid w:val="00AE7294"/>
    <w:rsid w:val="00B02F3E"/>
    <w:rsid w:val="00B227D8"/>
    <w:rsid w:val="00B37E75"/>
    <w:rsid w:val="00B40132"/>
    <w:rsid w:val="00B42383"/>
    <w:rsid w:val="00BD506A"/>
    <w:rsid w:val="00C266CF"/>
    <w:rsid w:val="00C72A19"/>
    <w:rsid w:val="00CD4B3A"/>
    <w:rsid w:val="00CD68F4"/>
    <w:rsid w:val="00CF03C6"/>
    <w:rsid w:val="00D02647"/>
    <w:rsid w:val="00D24AAC"/>
    <w:rsid w:val="00D27FAD"/>
    <w:rsid w:val="00D31CE6"/>
    <w:rsid w:val="00D362BE"/>
    <w:rsid w:val="00D7498E"/>
    <w:rsid w:val="00D82F5B"/>
    <w:rsid w:val="00DA4687"/>
    <w:rsid w:val="00DB6472"/>
    <w:rsid w:val="00DB7463"/>
    <w:rsid w:val="00E2157E"/>
    <w:rsid w:val="00E44FDD"/>
    <w:rsid w:val="00E71C3F"/>
    <w:rsid w:val="00EA777A"/>
    <w:rsid w:val="00EC3A20"/>
    <w:rsid w:val="00ED29DC"/>
    <w:rsid w:val="00EE02C3"/>
    <w:rsid w:val="00F04533"/>
    <w:rsid w:val="00F64AD2"/>
    <w:rsid w:val="00F65E2C"/>
    <w:rsid w:val="00F700D9"/>
    <w:rsid w:val="00F72200"/>
    <w:rsid w:val="00F7569B"/>
    <w:rsid w:val="00F966F6"/>
    <w:rsid w:val="00FA0957"/>
    <w:rsid w:val="00FC2D33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F0B45A-9F68-4967-B8AC-670C6C54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D70"/>
  </w:style>
  <w:style w:type="paragraph" w:styleId="a5">
    <w:name w:val="footer"/>
    <w:basedOn w:val="a"/>
    <w:link w:val="a6"/>
    <w:uiPriority w:val="99"/>
    <w:unhideWhenUsed/>
    <w:rsid w:val="00A3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D70"/>
  </w:style>
  <w:style w:type="character" w:customStyle="1" w:styleId="extended-textshort">
    <w:name w:val="extended-text__short"/>
    <w:basedOn w:val="a0"/>
    <w:rsid w:val="00AE7294"/>
  </w:style>
  <w:style w:type="paragraph" w:styleId="a7">
    <w:name w:val="Normal (Web)"/>
    <w:basedOn w:val="a"/>
    <w:uiPriority w:val="99"/>
    <w:semiHidden/>
    <w:unhideWhenUsed/>
    <w:rsid w:val="00AE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72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2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Лист3!$A$8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Лист3!$B$7:$D$7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Лист3!$B$8:$D$8</c:f>
              <c:numCache>
                <c:formatCode>General</c:formatCode>
                <c:ptCount val="3"/>
                <c:pt idx="0">
                  <c:v>2110</c:v>
                </c:pt>
                <c:pt idx="1">
                  <c:v>2340</c:v>
                </c:pt>
                <c:pt idx="2">
                  <c:v>2478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97-4757-974F-DA54E39F587B}"/>
            </c:ext>
          </c:extLst>
        </c:ser>
        <c:ser>
          <c:idx val="1"/>
          <c:order val="1"/>
          <c:tx>
            <c:strRef>
              <c:f>Лист3!$A$9</c:f>
              <c:strCache>
                <c:ptCount val="1"/>
                <c:pt idx="0">
                  <c:v>Обращения на "Телефон доверия"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Лист3!$B$7:$D$7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Лист3!$B$9:$D$9</c:f>
              <c:numCache>
                <c:formatCode>General</c:formatCode>
                <c:ptCount val="3"/>
                <c:pt idx="0">
                  <c:v>203</c:v>
                </c:pt>
                <c:pt idx="1">
                  <c:v>270</c:v>
                </c:pt>
                <c:pt idx="2">
                  <c:v>247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97-4757-974F-DA54E39F587B}"/>
            </c:ext>
          </c:extLst>
        </c:ser>
        <c:ser>
          <c:idx val="2"/>
          <c:order val="2"/>
          <c:tx>
            <c:strRef>
              <c:f>Лист3!$A$10</c:f>
              <c:strCache>
                <c:ptCount val="1"/>
                <c:pt idx="0">
                  <c:v>Устные обращения с личных приемов граждан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Лист3!$B$7:$D$7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Лист3!$B$10:$D$10</c:f>
              <c:numCache>
                <c:formatCode>General</c:formatCode>
                <c:ptCount val="3"/>
                <c:pt idx="0">
                  <c:v>158</c:v>
                </c:pt>
                <c:pt idx="1">
                  <c:v>197</c:v>
                </c:pt>
                <c:pt idx="2">
                  <c:v>137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97-4757-974F-DA54E39F587B}"/>
            </c:ext>
          </c:extLst>
        </c:ser>
        <c:ser>
          <c:idx val="3"/>
          <c:order val="3"/>
          <c:tx>
            <c:strRef>
              <c:f>Лист3!$A$11</c:f>
              <c:strCache>
                <c:ptCount val="1"/>
                <c:pt idx="0">
                  <c:v>Прямая линия с Главой МГО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Лист3!$B$7:$D$7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Лист3!$B$11:$D$11</c:f>
              <c:numCache>
                <c:formatCode>General</c:formatCode>
                <c:ptCount val="3"/>
                <c:pt idx="0">
                  <c:v>30</c:v>
                </c:pt>
                <c:pt idx="1">
                  <c:v>48</c:v>
                </c:pt>
                <c:pt idx="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D97-4757-974F-DA54E39F587B}"/>
            </c:ext>
          </c:extLst>
        </c:ser>
        <c:ser>
          <c:idx val="4"/>
          <c:order val="4"/>
          <c:tx>
            <c:strRef>
              <c:f>Лист3!$A$12</c:f>
              <c:strCache>
                <c:ptCount val="1"/>
                <c:pt idx="0">
                  <c:v>Платформа обратной связи (через гос. Услуги)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Лист3!$B$7:$D$7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Лист3!$B$12:$D$12</c:f>
              <c:numCache>
                <c:formatCode>General</c:formatCode>
                <c:ptCount val="3"/>
                <c:pt idx="0">
                  <c:v>537</c:v>
                </c:pt>
                <c:pt idx="1">
                  <c:v>643</c:v>
                </c:pt>
                <c:pt idx="2">
                  <c:v>1703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D97-4757-974F-DA54E39F5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9505712"/>
        <c:axId val="279505320"/>
      </c:barChart>
      <c:catAx>
        <c:axId val="27950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05320"/>
        <c:crosses val="autoZero"/>
        <c:auto val="1"/>
        <c:lblAlgn val="ctr"/>
        <c:lblOffset val="100"/>
        <c:noMultiLvlLbl val="0"/>
      </c:catAx>
      <c:valAx>
        <c:axId val="279505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057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 образования</a:t>
            </a: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Лист1!$A$39:$A$41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Лист1!$B$39:$B$41</c:f>
              <c:numCache>
                <c:formatCode>0</c:formatCode>
                <c:ptCount val="3"/>
                <c:pt idx="0">
                  <c:v>86</c:v>
                </c:pt>
                <c:pt idx="1">
                  <c:v>73</c:v>
                </c:pt>
                <c:pt idx="2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6C-48C7-AD59-42796E965C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48575448"/>
        <c:axId val="348575840"/>
        <c:axId val="0"/>
      </c:bar3DChart>
      <c:catAx>
        <c:axId val="348575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8575840"/>
        <c:crosses val="autoZero"/>
        <c:auto val="1"/>
        <c:lblAlgn val="ctr"/>
        <c:lblOffset val="100"/>
        <c:noMultiLvlLbl val="0"/>
      </c:catAx>
      <c:valAx>
        <c:axId val="348575840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348575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г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раждан принятых в ходе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личных приемов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(2022-2024)  </a:t>
            </a:r>
          </a:p>
        </c:rich>
      </c:tx>
      <c:layout>
        <c:manualLayout>
          <c:xMode val="edge"/>
          <c:yMode val="edge"/>
          <c:x val="9.6612978687398585E-2"/>
          <c:y val="3.2407407407407433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'ЛИЧНЫЙ ПРИЕМ'!$A$3</c:f>
              <c:strCache>
                <c:ptCount val="1"/>
                <c:pt idx="0">
                  <c:v>Глава МГО</c:v>
                </c:pt>
              </c:strCache>
            </c:strRef>
          </c:tx>
          <c:dLbls>
            <c:dLbl>
              <c:idx val="2"/>
              <c:layout>
                <c:manualLayout>
                  <c:x val="-4.7034764826175871E-2"/>
                  <c:y val="4.1782729805013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01B-447F-9FBD-171152142E8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'ЛИЧНЫЙ ПРИЕМ'!$B$2:$D$2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'ЛИЧНЫЙ ПРИЕМ'!$B$3:$D$3</c:f>
              <c:numCache>
                <c:formatCode>General</c:formatCode>
                <c:ptCount val="3"/>
                <c:pt idx="0">
                  <c:v>118</c:v>
                </c:pt>
                <c:pt idx="1">
                  <c:v>141</c:v>
                </c:pt>
                <c:pt idx="2">
                  <c:v>90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A9F-436B-B1EF-84DBC653A780}"/>
            </c:ext>
          </c:extLst>
        </c:ser>
        <c:ser>
          <c:idx val="1"/>
          <c:order val="1"/>
          <c:tx>
            <c:strRef>
              <c:f>'ЛИЧНЫЙ ПРИЕМ'!$A$4</c:f>
              <c:strCache>
                <c:ptCount val="1"/>
                <c:pt idx="0">
                  <c:v>Заместители главы</c:v>
                </c:pt>
              </c:strCache>
            </c:strRef>
          </c:tx>
          <c:dLbls>
            <c:dLbl>
              <c:idx val="2"/>
              <c:layout>
                <c:manualLayout>
                  <c:x val="-1.8404907975460197E-2"/>
                  <c:y val="-5.571030640668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01B-447F-9FBD-171152142E8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'ЛИЧНЫЙ ПРИЕМ'!$B$2:$D$2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'ЛИЧНЫЙ ПРИЕМ'!$B$4:$D$4</c:f>
              <c:numCache>
                <c:formatCode>General</c:formatCode>
                <c:ptCount val="3"/>
                <c:pt idx="0">
                  <c:v>40</c:v>
                </c:pt>
                <c:pt idx="1">
                  <c:v>56</c:v>
                </c:pt>
                <c:pt idx="2">
                  <c:v>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A9F-436B-B1EF-84DBC653A7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48576624"/>
        <c:axId val="348577016"/>
      </c:lineChart>
      <c:catAx>
        <c:axId val="34857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48577016"/>
        <c:crosses val="autoZero"/>
        <c:auto val="1"/>
        <c:lblAlgn val="ctr"/>
        <c:lblOffset val="100"/>
        <c:noMultiLvlLbl val="0"/>
      </c:catAx>
      <c:valAx>
        <c:axId val="348577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4857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776E-2"/>
                  <c:y val="-4.16666666666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00000000000102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Лист4!$A$23:$A$25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Лист4!$B$23:$B$25</c:f>
              <c:numCache>
                <c:formatCode>General</c:formatCode>
                <c:ptCount val="3"/>
                <c:pt idx="0">
                  <c:v>203</c:v>
                </c:pt>
                <c:pt idx="1">
                  <c:v>270</c:v>
                </c:pt>
                <c:pt idx="2">
                  <c:v>247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8577800"/>
        <c:axId val="348578192"/>
        <c:axId val="0"/>
      </c:bar3DChart>
      <c:catAx>
        <c:axId val="34857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578192"/>
        <c:crosses val="autoZero"/>
        <c:auto val="1"/>
        <c:lblAlgn val="ctr"/>
        <c:lblOffset val="100"/>
        <c:noMultiLvlLbl val="0"/>
      </c:catAx>
      <c:valAx>
        <c:axId val="34857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577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рассмотрения обращений (2022-2024)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9195177453508394E-2"/>
          <c:y val="0.22692307692307692"/>
          <c:w val="0.88873037670793031"/>
          <c:h val="0.462190379036628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Лист4!$A$5</c:f>
              <c:strCache>
                <c:ptCount val="1"/>
                <c:pt idx="0">
                  <c:v>отказано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Лист4!$B$4:$D$4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Лист4!$B$5:$D$5</c:f>
              <c:numCache>
                <c:formatCode>General</c:formatCode>
                <c:ptCount val="3"/>
                <c:pt idx="0">
                  <c:v>56</c:v>
                </c:pt>
                <c:pt idx="1">
                  <c:v>120</c:v>
                </c:pt>
                <c:pt idx="2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EC-4273-8D58-D6E7E1D53B4D}"/>
            </c:ext>
          </c:extLst>
        </c:ser>
        <c:ser>
          <c:idx val="1"/>
          <c:order val="1"/>
          <c:tx>
            <c:strRef>
              <c:f>Лист4!$A$6</c:f>
              <c:strCache>
                <c:ptCount val="1"/>
                <c:pt idx="0">
                  <c:v>разъяснено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Лист4!$B$4:$D$4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Лист4!$B$6:$D$6</c:f>
              <c:numCache>
                <c:formatCode>General</c:formatCode>
                <c:ptCount val="3"/>
                <c:pt idx="0">
                  <c:v>1957</c:v>
                </c:pt>
                <c:pt idx="1">
                  <c:v>2245</c:v>
                </c:pt>
                <c:pt idx="2">
                  <c:v>2614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EC-4273-8D58-D6E7E1D53B4D}"/>
            </c:ext>
          </c:extLst>
        </c:ser>
        <c:ser>
          <c:idx val="2"/>
          <c:order val="2"/>
          <c:tx>
            <c:strRef>
              <c:f>Лист4!$A$7</c:f>
              <c:strCache>
                <c:ptCount val="1"/>
                <c:pt idx="0">
                  <c:v>удовлетворено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Лист4!$B$4:$D$4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Лист4!$B$7:$D$7</c:f>
              <c:numCache>
                <c:formatCode>General</c:formatCode>
                <c:ptCount val="3"/>
                <c:pt idx="0">
                  <c:v>361</c:v>
                </c:pt>
                <c:pt idx="1">
                  <c:v>324</c:v>
                </c:pt>
                <c:pt idx="2">
                  <c:v>329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EC-4273-8D58-D6E7E1D53B4D}"/>
            </c:ext>
          </c:extLst>
        </c:ser>
        <c:ser>
          <c:idx val="3"/>
          <c:order val="3"/>
          <c:tx>
            <c:strRef>
              <c:f>Лист4!$A$8</c:f>
              <c:strCache>
                <c:ptCount val="1"/>
                <c:pt idx="0">
                  <c:v>оставлено без ответа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Лист4!$B$4:$D$4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Лист4!$B$8:$D$8</c:f>
              <c:numCache>
                <c:formatCode>General</c:formatCode>
                <c:ptCount val="3"/>
                <c:pt idx="0">
                  <c:v>48</c:v>
                </c:pt>
                <c:pt idx="1">
                  <c:v>83</c:v>
                </c:pt>
                <c:pt idx="2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AD-42A0-A596-10D893C87B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48579368"/>
        <c:axId val="348579760"/>
      </c:barChart>
      <c:catAx>
        <c:axId val="348579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579760"/>
        <c:crosses val="autoZero"/>
        <c:auto val="1"/>
        <c:lblAlgn val="ctr"/>
        <c:lblOffset val="100"/>
        <c:noMultiLvlLbl val="0"/>
      </c:catAx>
      <c:valAx>
        <c:axId val="348579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579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100"/>
      <c:depthPercent val="100"/>
      <c:rAngAx val="0"/>
      <c:perspective val="1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96521588647571"/>
          <c:y val="0.10530205599300088"/>
          <c:w val="0.72792088488938878"/>
          <c:h val="0.63421631671041123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atte">
              <a:bevelB/>
              <a:contourClr>
                <a:srgbClr val="000000"/>
              </a:contourClr>
            </a:sp3d>
          </c:spPr>
          <c:explosion val="32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3">
                    <a:lumMod val="75000"/>
                  </a:schemeClr>
                </a:contourClr>
              </a:sp3d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4">
                    <a:lumMod val="75000"/>
                  </a:schemeClr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5">
                    <a:lumMod val="75000"/>
                  </a:schemeClr>
                </a:contourClr>
              </a:sp3d>
            </c:spPr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6">
                    <a:lumMod val="75000"/>
                  </a:schemeClr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50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50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50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50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50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50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50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50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50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  <a:alpha val="90000"/>
                </a:schemeClr>
              </a:solidFill>
              <a:ln w="19050">
                <a:solidFill>
                  <a:schemeClr val="accent6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6">
                    <a:lumMod val="80000"/>
                    <a:lumOff val="20000"/>
                    <a:lumMod val="75000"/>
                  </a:schemeClr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  <a:alpha val="90000"/>
                </a:schemeClr>
              </a:solidFill>
              <a:ln w="19050">
                <a:solidFill>
                  <a:schemeClr val="accent1">
                    <a:lumMod val="8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1">
                    <a:lumMod val="80000"/>
                    <a:lumMod val="75000"/>
                  </a:schemeClr>
                </a:contourClr>
              </a:sp3d>
            </c:spPr>
          </c:dPt>
          <c:dPt>
            <c:idx val="19"/>
            <c:bubble3D val="0"/>
            <c:spPr>
              <a:solidFill>
                <a:schemeClr val="accent2">
                  <a:lumMod val="80000"/>
                  <a:alpha val="90000"/>
                </a:schemeClr>
              </a:solidFill>
              <a:ln w="19050">
                <a:solidFill>
                  <a:schemeClr val="accent2">
                    <a:lumMod val="8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2">
                    <a:lumMod val="80000"/>
                    <a:lumMod val="75000"/>
                  </a:schemeClr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  <a:alpha val="90000"/>
                </a:schemeClr>
              </a:solidFill>
              <a:ln w="19050">
                <a:solidFill>
                  <a:schemeClr val="accent3">
                    <a:lumMod val="8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matte">
                <a:bevelB/>
                <a:contourClr>
                  <a:schemeClr val="accent3">
                    <a:lumMod val="80000"/>
                    <a:lumMod val="7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-5.3333333333333337E-2"/>
                  <c:y val="-0.2558927978830232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"/>
                      <c:h val="0.1087848932676518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3366666666666669E-2"/>
                  <c:y val="-0.1703172879252162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333333333333336E-4"/>
                  <c:y val="-0.1626555301276995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8192276961437093"/>
                  <c:y val="0.1180713307768077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10205188101487314"/>
                  <c:y val="1.9960220489680169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2357917760279963E-2"/>
                  <c:y val="0.19990065896935286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8.1655293088363959E-2"/>
                  <c:y val="0.10685194523098406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0.13040174978127733"/>
                  <c:y val="-3.3028630041934411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8.3173228346456698E-2"/>
                  <c:y val="-9.811015002435040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6.6523097112860891E-2"/>
                  <c:y val="-0.11126109236345456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8.6953543307086614E-2"/>
                  <c:y val="-0.1208601080037409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8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6.0235170603674539E-2"/>
                  <c:y val="-0.1625449836011877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>
                      <a:lumMod val="8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8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6.1974705084941305E-3"/>
                  <c:y val="-6.0894575678040247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8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8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ПОС!$A$2:$A$22</c:f>
              <c:strCache>
                <c:ptCount val="21"/>
                <c:pt idx="0">
                  <c:v>Парки культуры и отдыха</c:v>
                </c:pt>
                <c:pt idx="1">
                  <c:v>Теплоснабжение</c:v>
                </c:pt>
                <c:pt idx="2">
                  <c:v>Автомобильные дороги</c:v>
                </c:pt>
                <c:pt idx="3">
                  <c:v>Погребение и похоронное дело</c:v>
                </c:pt>
                <c:pt idx="4">
                  <c:v>Электронное удостоверение многодетной семьи</c:v>
                </c:pt>
                <c:pt idx="5">
                  <c:v>Благоустройство</c:v>
                </c:pt>
                <c:pt idx="6">
                  <c:v>Природа, Экология</c:v>
                </c:pt>
                <c:pt idx="7">
                  <c:v>Торговля</c:v>
                </c:pt>
                <c:pt idx="8">
                  <c:v>Сведения об образовании и достижениях на портале Госуслуг</c:v>
                </c:pt>
                <c:pt idx="9">
                  <c:v>Строительство</c:v>
                </c:pt>
                <c:pt idx="10">
                  <c:v>Дворы и территории общего пользования</c:v>
                </c:pt>
                <c:pt idx="11">
                  <c:v>Социальное обслуживание и защита</c:v>
                </c:pt>
                <c:pt idx="12">
                  <c:v>МФЦ "Мои документы"</c:v>
                </c:pt>
                <c:pt idx="13">
                  <c:v>Электроснабжение</c:v>
                </c:pt>
                <c:pt idx="14">
                  <c:v>Водоснабжение</c:v>
                </c:pt>
                <c:pt idx="15">
                  <c:v>Общественный транспорт</c:v>
                </c:pt>
                <c:pt idx="16">
                  <c:v>Многоквартирные дома</c:v>
                </c:pt>
                <c:pt idx="17">
                  <c:v>Ветеринария</c:v>
                </c:pt>
                <c:pt idx="18">
                  <c:v>Иное</c:v>
                </c:pt>
                <c:pt idx="19">
                  <c:v>Мусор</c:v>
                </c:pt>
                <c:pt idx="20">
                  <c:v>Образование</c:v>
                </c:pt>
              </c:strCache>
            </c:strRef>
          </c:cat>
          <c:val>
            <c:numRef>
              <c:f>ПОС!$B$2:$B$22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127</c:v>
                </c:pt>
                <c:pt idx="3">
                  <c:v>2</c:v>
                </c:pt>
                <c:pt idx="4">
                  <c:v>2</c:v>
                </c:pt>
                <c:pt idx="5">
                  <c:v>155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147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9</c:v>
                </c:pt>
                <c:pt idx="15">
                  <c:v>17</c:v>
                </c:pt>
                <c:pt idx="16">
                  <c:v>29</c:v>
                </c:pt>
                <c:pt idx="17">
                  <c:v>37</c:v>
                </c:pt>
                <c:pt idx="18">
                  <c:v>50</c:v>
                </c:pt>
                <c:pt idx="19">
                  <c:v>70</c:v>
                </c:pt>
                <c:pt idx="20">
                  <c:v>1024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3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31768280079404"/>
          <c:y val="0.18581484132665232"/>
          <c:w val="0.6545939558446725"/>
          <c:h val="0.62630699870650142"/>
        </c:manualLayout>
      </c:layout>
      <c:pie3DChart>
        <c:varyColors val="1"/>
        <c:ser>
          <c:idx val="0"/>
          <c:order val="0"/>
          <c:explosion val="2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4D7-4169-ABB0-5567A82747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14D7-4169-ABB0-5567A82747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14D7-4169-ABB0-5567A82747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4D7-4169-ABB0-5567A82747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14D7-4169-ABB0-5567A82747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4D7-4169-ABB0-5567A82747B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D7-4169-ABB0-5567A82747B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4D7-4169-ABB0-5567A82747B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4D7-4169-ABB0-5567A82747B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4D7-4169-ABB0-5567A82747B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4D7-4169-ABB0-5567A82747BF}"/>
              </c:ext>
            </c:extLst>
          </c:dPt>
          <c:dLbls>
            <c:dLbl>
              <c:idx val="0"/>
              <c:layout>
                <c:manualLayout>
                  <c:x val="9.0359628959423552E-2"/>
                  <c:y val="-5.30755770913251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4.1361242888117246E-2"/>
                  <c:y val="1.768793323911434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6898792182923643E-2"/>
                  <c:y val="8.49919627271471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2.5175609322360426E-3"/>
                  <c:y val="0.1943039896362569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0.11472656648784649"/>
                  <c:y val="0.1105465929869306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1.1749276321639142E-2"/>
                  <c:y val="-5.655189630859124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704469187273799"/>
                      <c:h val="0.19796773475295024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7290001793254103"/>
                  <c:y val="-2.598565403683514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6.0267814050428969E-2"/>
                  <c:y val="1.073718350020192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996364318951975"/>
                      <c:h val="0.21930584512411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1.4967454848233124E-2"/>
                  <c:y val="3.5528513481269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4D7-4169-ABB0-5567A82747BF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F81BD"/>
                </a:solidFill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доставка!$A$2:$A$10</c:f>
              <c:strCache>
                <c:ptCount val="9"/>
                <c:pt idx="0">
                  <c:v>Почта </c:v>
                </c:pt>
                <c:pt idx="1">
                  <c:v>email </c:v>
                </c:pt>
                <c:pt idx="2">
                  <c:v>факс </c:v>
                </c:pt>
                <c:pt idx="3">
                  <c:v>нарочно </c:v>
                </c:pt>
                <c:pt idx="4">
                  <c:v>Межмуниципальный электронный документооборот </c:v>
                </c:pt>
                <c:pt idx="5">
                  <c:v>Интернет приемная на сайте администрации </c:v>
                </c:pt>
                <c:pt idx="6">
                  <c:v>Телефон доверия </c:v>
                </c:pt>
                <c:pt idx="7">
                  <c:v>Прямая линия с Главой </c:v>
                </c:pt>
                <c:pt idx="8">
                  <c:v>Платформа обратной связи (ПОС)</c:v>
                </c:pt>
              </c:strCache>
            </c:strRef>
          </c:cat>
          <c:val>
            <c:numRef>
              <c:f>доставка!$B$2:$B$10</c:f>
              <c:numCache>
                <c:formatCode>General</c:formatCode>
                <c:ptCount val="9"/>
                <c:pt idx="0">
                  <c:v>307</c:v>
                </c:pt>
                <c:pt idx="1">
                  <c:v>342</c:v>
                </c:pt>
                <c:pt idx="2">
                  <c:v>0</c:v>
                </c:pt>
                <c:pt idx="3">
                  <c:v>660</c:v>
                </c:pt>
                <c:pt idx="4">
                  <c:v>970</c:v>
                </c:pt>
                <c:pt idx="5">
                  <c:v>199</c:v>
                </c:pt>
                <c:pt idx="6">
                  <c:v>247</c:v>
                </c:pt>
                <c:pt idx="7">
                  <c:v>54</c:v>
                </c:pt>
                <c:pt idx="8">
                  <c:v>1703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D7-4169-ABB0-5567A8274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extLst xmlns:c16r2="http://schemas.microsoft.com/office/drawing/2015/06/chart">
          <c:ext xmlns:c15="http://schemas.microsoft.com/office/drawing/2012/chart" uri="{02D57815-91ED-43cb-92C2-25804820EDAC}"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0D-14D7-4169-ABB0-5567A82747BF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0E-14D7-4169-ABB0-5567A82747BF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0F-14D7-4169-ABB0-5567A82747BF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0-14D7-4169-ABB0-5567A82747BF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1-14D7-4169-ABB0-5567A82747BF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2-14D7-4169-ABB0-5567A82747BF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3-14D7-4169-ABB0-5567A82747BF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4-14D7-4169-ABB0-5567A82747BF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5-14D7-4169-ABB0-5567A82747BF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6-14D7-4169-ABB0-5567A82747BF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889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27000" h="127000"/>
                      <a:bevelB w="127000" h="127000"/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17-14D7-4169-ABB0-5567A82747BF}"/>
                    </c:ext>
                  </c:extLst>
                </c:dPt>
                <c:dLbls>
                  <c:dLbl>
                    <c:idx val="0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1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D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dLbl>
                    <c:idx val="1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2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E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dLbl>
                    <c:idx val="2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3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F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dLbl>
                    <c:idx val="3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4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10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dLbl>
                    <c:idx val="4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5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11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dLbl>
                    <c:idx val="5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6"/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12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dLbl>
                    <c:idx val="6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1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13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dLbl>
                    <c:idx val="7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2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14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dLbl>
                    <c:idx val="8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3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15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dLbl>
                    <c:idx val="9"/>
                    <c:spPr>
                      <a:solidFill>
                        <a:sysClr val="window" lastClr="FFFFFF"/>
                      </a:solidFill>
                      <a:ln>
                        <a:solidFill>
                          <a:srgbClr val="C0504D"/>
                        </a:solidFill>
                      </a:ln>
                      <a:effectLst/>
                    </c:spPr>
                    <c:txPr>
                      <a:bodyPr rot="0" spcFirstLastPara="1" vertOverflow="clip" horzOverflow="clip" vert="horz" wrap="square" lIns="38100" tIns="19050" rIns="38100" bIns="19050" anchor="ctr" anchorCtr="1">
                        <a:spAutoFit/>
                      </a:bodyPr>
                      <a:lstStyle/>
                      <a:p>
                        <a:pPr>
                          <a:defRPr sz="1000" b="1" i="0" u="none" strike="noStrike" kern="1200" baseline="0">
                            <a:solidFill>
                              <a:schemeClr val="accent4">
                                <a:lumMod val="60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  <c:dLblPos val="outEnd"/>
                    <c:showLegendKey val="0"/>
                    <c:showVal val="0"/>
                    <c:showCatName val="1"/>
                    <c:showSerName val="0"/>
                    <c:showPercent val="1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16-14D7-4169-ABB0-5567A82747BF}"/>
                      </c:ext>
                      <c:ext uri="{CE6537A1-D6FC-4f65-9D91-7224C49458BB}">
                        <c15:spPr xmlns:c15="http://schemas.microsoft.com/office/drawing/2012/chart">
                          <a:prstGeom prst="wedgeRectCallout">
                            <a:avLst/>
                          </a:prstGeom>
                          <a:noFill/>
                          <a:ln>
                            <a:noFill/>
                          </a:ln>
                        </c15:spPr>
                      </c:ext>
                    </c:extLst>
                  </c:dLbl>
                  <c:spPr>
                    <a:solidFill>
                      <a:sysClr val="window" lastClr="FFFFFF"/>
                    </a:solidFill>
                    <a:ln>
                      <a:solidFill>
                        <a:srgbClr val="C0504D"/>
                      </a:solidFill>
                    </a:ln>
                    <a:effectLst/>
                  </c:sp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доставка!$A$2:$A$10</c15:sqref>
                        </c15:formulaRef>
                      </c:ext>
                    </c:extLst>
                    <c:strCache>
                      <c:ptCount val="9"/>
                      <c:pt idx="0">
                        <c:v>Почта </c:v>
                      </c:pt>
                      <c:pt idx="1">
                        <c:v>email </c:v>
                      </c:pt>
                      <c:pt idx="2">
                        <c:v>факс </c:v>
                      </c:pt>
                      <c:pt idx="3">
                        <c:v>нарочно </c:v>
                      </c:pt>
                      <c:pt idx="4">
                        <c:v>Межмуниципальный электронный документооборот </c:v>
                      </c:pt>
                      <c:pt idx="5">
                        <c:v>Интернет приемная на сайте администрации </c:v>
                      </c:pt>
                      <c:pt idx="6">
                        <c:v>Телефон доверия </c:v>
                      </c:pt>
                      <c:pt idx="7">
                        <c:v>Прямая линия с Главой </c:v>
                      </c:pt>
                      <c:pt idx="8">
                        <c:v>Платформа обратной связи (ПОС)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доставка!$C$2:$C$10</c15:sqref>
                        </c15:formulaRef>
                      </c:ext>
                    </c:extLst>
                    <c:numCache>
                      <c:formatCode>0.00</c:formatCode>
                      <c:ptCount val="9"/>
                      <c:pt idx="0">
                        <c:v>8.7116912599318947</c:v>
                      </c:pt>
                      <c:pt idx="1">
                        <c:v>9.7048808172531214</c:v>
                      </c:pt>
                      <c:pt idx="2">
                        <c:v>0</c:v>
                      </c:pt>
                      <c:pt idx="3">
                        <c:v>18.728717366628832</c:v>
                      </c:pt>
                      <c:pt idx="4">
                        <c:v>27.525539160045405</c:v>
                      </c:pt>
                      <c:pt idx="5">
                        <c:v>5.6469920544835412</c:v>
                      </c:pt>
                      <c:pt idx="6">
                        <c:v>7.0090805902383657</c:v>
                      </c:pt>
                      <c:pt idx="7">
                        <c:v>1.532349602724177</c:v>
                      </c:pt>
                      <c:pt idx="8">
                        <c:v>48.325766174801359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1-14D7-4169-ABB0-5567A82747BF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626486504001913E-3"/>
          <c:y val="3.7782485875706213E-2"/>
          <c:w val="0.55383704351770868"/>
          <c:h val="0.8353708835176091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432-4EBC-A6E2-B72AF74D5F2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'диаграмма '!$A$2:$A$12</c:f>
              <c:strCache>
                <c:ptCount val="11"/>
                <c:pt idx="0">
                  <c:v>заявители лично 47 %</c:v>
                </c:pt>
                <c:pt idx="1">
                  <c:v>Минераловодская  Межрайонная прокуратура 8 %</c:v>
                </c:pt>
                <c:pt idx="2">
                  <c:v>Аппарат полномочного представителя Президента в СКФО 0,5 %</c:v>
                </c:pt>
                <c:pt idx="3">
                  <c:v>Представитель Губернатора СК 1 %</c:v>
                </c:pt>
                <c:pt idx="4">
                  <c:v>Органы исполнительной власти СК 10 %</c:v>
                </c:pt>
                <c:pt idx="5">
                  <c:v>управление Президента РФ по работе с обращениями граждан и организаций 10 %</c:v>
                </c:pt>
                <c:pt idx="6">
                  <c:v>Губернатор СК 11 %</c:v>
                </c:pt>
                <c:pt idx="7">
                  <c:v>Телефон доверия Губернатора 6 %</c:v>
                </c:pt>
                <c:pt idx="8">
                  <c:v>Прямая линия с Губернатором 3 %</c:v>
                </c:pt>
                <c:pt idx="9">
                  <c:v>Директ Губернатора 0,04 %</c:v>
                </c:pt>
                <c:pt idx="10">
                  <c:v>Прочие инстанции 9 %</c:v>
                </c:pt>
              </c:strCache>
            </c:strRef>
          </c:cat>
          <c:val>
            <c:numRef>
              <c:f>'диаграмма '!$B$2:$B$12</c:f>
              <c:numCache>
                <c:formatCode>General</c:formatCode>
                <c:ptCount val="11"/>
                <c:pt idx="0">
                  <c:v>1108</c:v>
                </c:pt>
                <c:pt idx="1">
                  <c:v>185</c:v>
                </c:pt>
                <c:pt idx="2">
                  <c:v>11</c:v>
                </c:pt>
                <c:pt idx="3">
                  <c:v>19</c:v>
                </c:pt>
                <c:pt idx="4">
                  <c:v>239</c:v>
                </c:pt>
                <c:pt idx="5">
                  <c:v>236</c:v>
                </c:pt>
                <c:pt idx="6">
                  <c:v>259</c:v>
                </c:pt>
                <c:pt idx="7">
                  <c:v>137</c:v>
                </c:pt>
                <c:pt idx="8">
                  <c:v>75</c:v>
                </c:pt>
                <c:pt idx="9">
                  <c:v>1</c:v>
                </c:pt>
                <c:pt idx="10">
                  <c:v>208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5D-46BE-AE40-157FEE20BC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5098066680673818"/>
          <c:y val="0"/>
          <c:w val="0.42459171770195392"/>
          <c:h val="1"/>
        </c:manualLayout>
      </c:layout>
      <c:overlay val="0"/>
      <c:txPr>
        <a:bodyPr/>
        <a:lstStyle/>
        <a:p>
          <a:pPr>
            <a:defRPr kern="800" spc="-60" baseline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hPercent val="150"/>
      <c:rotY val="60"/>
      <c:depthPercent val="9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188379739994293E-2"/>
          <c:y val="0.16859177380251952"/>
          <c:w val="0.68481575585799359"/>
          <c:h val="0.60710643482760207"/>
        </c:manualLayout>
      </c:layout>
      <c:pie3DChart>
        <c:varyColors val="1"/>
        <c:ser>
          <c:idx val="0"/>
          <c:order val="0"/>
          <c:explosion val="61"/>
          <c:dPt>
            <c:idx val="14"/>
            <c:bubble3D val="0"/>
            <c:explosion val="66"/>
            <c:extLst xmlns:c16r2="http://schemas.microsoft.com/office/drawing/2015/06/chart">
              <c:ext xmlns:c16="http://schemas.microsoft.com/office/drawing/2014/chart" uri="{C3380CC4-5D6E-409C-BE32-E72D297353CC}">
                <c16:uniqueId val="{00000001-375A-477A-B110-7C60792EA286}"/>
              </c:ext>
            </c:extLst>
          </c:dPt>
          <c:dPt>
            <c:idx val="19"/>
            <c:bubble3D val="0"/>
            <c:explosion val="52"/>
            <c:extLst xmlns:c16r2="http://schemas.microsoft.com/office/drawing/2015/06/chart">
              <c:ext xmlns:c16="http://schemas.microsoft.com/office/drawing/2014/chart" uri="{C3380CC4-5D6E-409C-BE32-E72D297353CC}">
                <c16:uniqueId val="{00000000-375A-477A-B110-7C60792EA286}"/>
              </c:ext>
            </c:extLst>
          </c:dPt>
          <c:dLbls>
            <c:dLbl>
              <c:idx val="0"/>
              <c:layout>
                <c:manualLayout>
                  <c:x val="-0.12192313770696026"/>
                  <c:y val="-7.93298189421237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75A-477A-B110-7C60792EA28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220784525818971E-2"/>
                  <c:y val="-9.6511433998926935E-2"/>
                </c:manualLayout>
              </c:layout>
              <c:tx>
                <c:rich>
                  <a:bodyPr/>
                  <a:lstStyle/>
                  <a:p>
                    <a:fld id="{BB6DC923-8CE5-4756-821E-0D611A8C6D7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8.8930627290596614E-2"/>
                  <c:y val="-0.1333866243238932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75A-477A-B110-7C60792EA28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430469576603593"/>
                  <c:y val="-1.7132772196578876E-2"/>
                </c:manualLayout>
              </c:layout>
              <c:tx>
                <c:rich>
                  <a:bodyPr/>
                  <a:lstStyle/>
                  <a:p>
                    <a:fld id="{2DF337AC-2CD7-4D48-A849-E9A94196805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375A-477A-B110-7C60792EA28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8.7727758974448913E-2"/>
                  <c:y val="5.69502519081665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A5F-4533-A292-4065C98DA61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0057900613202859E-2"/>
                  <c:y val="0.14440130328536518"/>
                </c:manualLayout>
              </c:layout>
              <c:tx>
                <c:rich>
                  <a:bodyPr/>
                  <a:lstStyle/>
                  <a:p>
                    <a:fld id="{AE189045-2F14-4AAE-A2B0-6728CFD27FC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375A-477A-B110-7C60792EA28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6.3785246391825007E-2"/>
                  <c:y val="0.1189353402647873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75A-477A-B110-7C60792EA28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872452055756989E-2"/>
                  <c:y val="0.1199061788547149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942-4224-931B-4F0750B0B8CB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0790914572076085"/>
                  <c:y val="1.47550789576715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A5F-4533-A292-4065C98DA61C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2419327694019572"/>
                  <c:y val="-5.0307782659764301E-2"/>
                </c:manualLayout>
              </c:layout>
              <c:tx>
                <c:rich>
                  <a:bodyPr/>
                  <a:lstStyle/>
                  <a:p>
                    <a:fld id="{22359638-EE93-4EAE-9C2C-75BC4C348DC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75A-477A-B110-7C60792EA28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-8.0976057698120787E-2"/>
                  <c:y val="-0.18241469816272965"/>
                </c:manualLayout>
              </c:layout>
              <c:tx>
                <c:rich>
                  <a:bodyPr/>
                  <a:lstStyle/>
                  <a:p>
                    <a:fld id="{A1FF5FCC-F8CB-4A93-AE19-F8FA14D0F9B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0,3%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75A-477A-B110-7C60792EA28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1"/>
              <c:layout>
                <c:manualLayout>
                  <c:x val="-8.3586623159965553E-2"/>
                  <c:y val="-1.181899914444396E-2"/>
                </c:manualLayout>
              </c:layout>
              <c:tx>
                <c:rich>
                  <a:bodyPr/>
                  <a:lstStyle/>
                  <a:p>
                    <a:fld id="{2A88F751-52B7-4453-BD27-41D1A23391D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108-4C4E-A7A1-DF748AAD5EF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EEC47E4B-B275-492A-A6FD-46D06B75842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0,32%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75A-477A-B110-7C60792EA28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8"/>
              <c:layout>
                <c:manualLayout>
                  <c:x val="0"/>
                  <c:y val="-0.1609197473197206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75A-477A-B110-7C60792EA286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tx>
                <c:rich>
                  <a:bodyPr/>
                  <a:lstStyle/>
                  <a:p>
                    <a:fld id="{5D6BEDE1-A92F-4DC4-B986-90D54283166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45%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75A-477A-B110-7C60792EA28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Лист3!$A$3:$A$14</c:f>
              <c:strCache>
                <c:ptCount val="12"/>
                <c:pt idx="0">
                  <c:v>вопросы капитального строительства</c:v>
                </c:pt>
                <c:pt idx="1">
                  <c:v>вопросы землепользования</c:v>
                </c:pt>
                <c:pt idx="2">
                  <c:v>вопросы архитектуры</c:v>
                </c:pt>
                <c:pt idx="3">
                  <c:v>образование </c:v>
                </c:pt>
                <c:pt idx="4">
                  <c:v>сельское хозяйство</c:v>
                </c:pt>
                <c:pt idx="5">
                  <c:v>муниципальный контроль</c:v>
                </c:pt>
                <c:pt idx="6">
                  <c:v>социальная защита </c:v>
                </c:pt>
                <c:pt idx="7">
                  <c:v>вопросы опеки</c:v>
                </c:pt>
                <c:pt idx="8">
                  <c:v>торговля</c:v>
                </c:pt>
                <c:pt idx="9">
                  <c:v>вопросы культуры</c:v>
                </c:pt>
                <c:pt idx="10">
                  <c:v>спорт</c:v>
                </c:pt>
                <c:pt idx="11">
                  <c:v>вопросы жилищно-комммунального хозяйства </c:v>
                </c:pt>
              </c:strCache>
            </c:strRef>
          </c:cat>
          <c:val>
            <c:numRef>
              <c:f>Лист3!$B$3:$B$14</c:f>
              <c:numCache>
                <c:formatCode>General</c:formatCode>
                <c:ptCount val="12"/>
                <c:pt idx="0">
                  <c:v>16</c:v>
                </c:pt>
                <c:pt idx="1">
                  <c:v>337</c:v>
                </c:pt>
                <c:pt idx="2">
                  <c:v>157</c:v>
                </c:pt>
                <c:pt idx="3">
                  <c:v>97</c:v>
                </c:pt>
                <c:pt idx="4">
                  <c:v>36</c:v>
                </c:pt>
                <c:pt idx="5">
                  <c:v>141</c:v>
                </c:pt>
                <c:pt idx="6">
                  <c:v>167</c:v>
                </c:pt>
                <c:pt idx="7">
                  <c:v>31</c:v>
                </c:pt>
                <c:pt idx="8">
                  <c:v>77</c:v>
                </c:pt>
                <c:pt idx="9">
                  <c:v>25</c:v>
                </c:pt>
                <c:pt idx="10">
                  <c:v>9</c:v>
                </c:pt>
                <c:pt idx="11">
                  <c:v>1730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5F-4533-A292-4065C98DA61C}"/>
            </c:ext>
          </c:extLst>
        </c:ser>
        <c:ser>
          <c:idx val="1"/>
          <c:order val="1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Лист3!$A$3:$A$14</c:f>
              <c:strCache>
                <c:ptCount val="12"/>
                <c:pt idx="0">
                  <c:v>вопросы капитального строительства</c:v>
                </c:pt>
                <c:pt idx="1">
                  <c:v>вопросы землепользования</c:v>
                </c:pt>
                <c:pt idx="2">
                  <c:v>вопросы архитектуры</c:v>
                </c:pt>
                <c:pt idx="3">
                  <c:v>образование </c:v>
                </c:pt>
                <c:pt idx="4">
                  <c:v>сельское хозяйство</c:v>
                </c:pt>
                <c:pt idx="5">
                  <c:v>муниципальный контроль</c:v>
                </c:pt>
                <c:pt idx="6">
                  <c:v>социальная защита </c:v>
                </c:pt>
                <c:pt idx="7">
                  <c:v>вопросы опеки</c:v>
                </c:pt>
                <c:pt idx="8">
                  <c:v>торговля</c:v>
                </c:pt>
                <c:pt idx="9">
                  <c:v>вопросы культуры</c:v>
                </c:pt>
                <c:pt idx="10">
                  <c:v>спорт</c:v>
                </c:pt>
                <c:pt idx="11">
                  <c:v>вопросы жилищно-комммунального хозяйства </c:v>
                </c:pt>
              </c:strCache>
            </c:strRef>
          </c:cat>
          <c:val>
            <c:numRef>
              <c:f>Лист3!$C$3:$C$14</c:f>
              <c:numCache>
                <c:formatCode>0.00</c:formatCode>
                <c:ptCount val="12"/>
                <c:pt idx="0">
                  <c:v>0.54869684499314131</c:v>
                </c:pt>
                <c:pt idx="1">
                  <c:v>11.556927297668038</c:v>
                </c:pt>
                <c:pt idx="2">
                  <c:v>5.3840877914951992</c:v>
                </c:pt>
                <c:pt idx="3">
                  <c:v>3.326474622770919</c:v>
                </c:pt>
                <c:pt idx="4">
                  <c:v>1.2345679012345678</c:v>
                </c:pt>
                <c:pt idx="5">
                  <c:v>4.8353909465020575</c:v>
                </c:pt>
                <c:pt idx="6">
                  <c:v>5.7270233196159124</c:v>
                </c:pt>
                <c:pt idx="7">
                  <c:v>1.0631001371742113</c:v>
                </c:pt>
                <c:pt idx="8">
                  <c:v>2.6406035665294922</c:v>
                </c:pt>
                <c:pt idx="9">
                  <c:v>0.85733882030178321</c:v>
                </c:pt>
                <c:pt idx="10">
                  <c:v>0.30864197530864196</c:v>
                </c:pt>
                <c:pt idx="11">
                  <c:v>59.327846364883399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A5F-4533-A292-4065C98DA61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Вопросы жилищно-коммунального хозяйства</c:v>
          </c:tx>
          <c:invertIfNegative val="0"/>
          <c:dLbls>
            <c:dLbl>
              <c:idx val="0"/>
              <c:layout>
                <c:manualLayout>
                  <c:x val="0"/>
                  <c:y val="-7.2267389340560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DA6-49AF-8FCF-E2485F0FF2A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84359982525121E-3"/>
                  <c:y val="-5.420054200542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DA6-49AF-8FCF-E2485F0FF2A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092274126469318E-17"/>
                  <c:y val="-6.7750677506775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DA6-49AF-8FCF-E2485F0FF2A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1409</c:v>
                </c:pt>
                <c:pt idx="1">
                  <c:v>1667</c:v>
                </c:pt>
                <c:pt idx="2">
                  <c:v>1730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DA6-49AF-8FCF-E2485F0FF2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7840744"/>
        <c:axId val="342198464"/>
        <c:axId val="0"/>
      </c:bar3DChart>
      <c:catAx>
        <c:axId val="147840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2198464"/>
        <c:crosses val="autoZero"/>
        <c:auto val="1"/>
        <c:lblAlgn val="ctr"/>
        <c:lblOffset val="100"/>
        <c:noMultiLvlLbl val="0"/>
      </c:catAx>
      <c:valAx>
        <c:axId val="34219846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47840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 замлеустройства и землепользования </a:t>
            </a:r>
          </a:p>
        </c:rich>
      </c:tx>
      <c:layout>
        <c:manualLayout>
          <c:xMode val="edge"/>
          <c:yMode val="edge"/>
          <c:x val="0.16241666666666671"/>
          <c:y val="0"/>
        </c:manualLayout>
      </c:layout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Вопросы замлеустройства и землепользования (2016-2018)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Лист1!$A$23:$A$25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Лист1!$B$23:$B$25</c:f>
              <c:numCache>
                <c:formatCode>0</c:formatCode>
                <c:ptCount val="3"/>
                <c:pt idx="0">
                  <c:v>290</c:v>
                </c:pt>
                <c:pt idx="1">
                  <c:v>327</c:v>
                </c:pt>
                <c:pt idx="2">
                  <c:v>337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91-446A-AA6F-AA10E9F0F9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2295528"/>
        <c:axId val="348571136"/>
        <c:axId val="0"/>
      </c:bar3DChart>
      <c:catAx>
        <c:axId val="312295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8571136"/>
        <c:crosses val="autoZero"/>
        <c:auto val="1"/>
        <c:lblAlgn val="ctr"/>
        <c:lblOffset val="100"/>
        <c:noMultiLvlLbl val="0"/>
      </c:catAx>
      <c:valAx>
        <c:axId val="34857113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3122955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 социальной поддержки населения </a:t>
            </a: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5.55555555555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B76-4263-891A-E3794320387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809E-3"/>
                  <c:y val="-4.6296296296296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B76-4263-891A-E3794320387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77777777777809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B76-4263-891A-E3794320387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Лист1!$A$34:$A$36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Лист1!$B$34:$B$36</c:f>
              <c:numCache>
                <c:formatCode>0</c:formatCode>
                <c:ptCount val="3"/>
                <c:pt idx="0">
                  <c:v>167</c:v>
                </c:pt>
                <c:pt idx="1">
                  <c:v>232</c:v>
                </c:pt>
                <c:pt idx="2">
                  <c:v>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B76-4263-891A-E379432038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48571920"/>
        <c:axId val="348572312"/>
        <c:axId val="0"/>
      </c:bar3DChart>
      <c:catAx>
        <c:axId val="348571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8572312"/>
        <c:crosses val="autoZero"/>
        <c:auto val="1"/>
        <c:lblAlgn val="ctr"/>
        <c:lblOffset val="100"/>
        <c:noMultiLvlLbl val="0"/>
      </c:catAx>
      <c:valAx>
        <c:axId val="34857231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3485719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 архитектуры и градостроительства</a:t>
            </a: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7777777777777809E-3"/>
                  <c:y val="-3.2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46E-4173-85A0-008F8489D1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809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46E-4173-85A0-008F8489D19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18506752641601E-16"/>
                  <c:y val="-3.2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46E-4173-85A0-008F8489D19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Лист1!$A$8:$A$10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Лист1!$B$8:$B$10</c:f>
              <c:numCache>
                <c:formatCode>0</c:formatCode>
                <c:ptCount val="3"/>
                <c:pt idx="0">
                  <c:v>151</c:v>
                </c:pt>
                <c:pt idx="1">
                  <c:v>173</c:v>
                </c:pt>
                <c:pt idx="2">
                  <c:v>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46E-4173-85A0-008F8489D1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48573096"/>
        <c:axId val="348573488"/>
        <c:axId val="0"/>
      </c:bar3DChart>
      <c:catAx>
        <c:axId val="348573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8573488"/>
        <c:crosses val="autoZero"/>
        <c:auto val="1"/>
        <c:lblAlgn val="ctr"/>
        <c:lblOffset val="100"/>
        <c:noMultiLvlLbl val="0"/>
      </c:catAx>
      <c:valAx>
        <c:axId val="348573488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348573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Вопросы осуществления муниципального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контроля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5462668816040029E-17"/>
                  <c:y val="-3.2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CB6-4D60-90B7-DFD8EAEFE63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77777777777809E-3"/>
                  <c:y val="-2.7777777777777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CB6-4D60-90B7-DFD8EAEFE63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18506752641601E-16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CB6-4D60-90B7-DFD8EAEFE63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Лист1!$A$28:$A$30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Лист1!$B$28:$B$30</c:f>
              <c:numCache>
                <c:formatCode>0</c:formatCode>
                <c:ptCount val="3"/>
                <c:pt idx="0">
                  <c:v>160</c:v>
                </c:pt>
                <c:pt idx="1">
                  <c:v>138</c:v>
                </c:pt>
                <c:pt idx="2">
                  <c:v>141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CB6-4D60-90B7-DFD8EAEFE6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48574272"/>
        <c:axId val="348574664"/>
        <c:axId val="0"/>
      </c:bar3DChart>
      <c:catAx>
        <c:axId val="348574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8574664"/>
        <c:crosses val="autoZero"/>
        <c:auto val="1"/>
        <c:lblAlgn val="ctr"/>
        <c:lblOffset val="100"/>
        <c:noMultiLvlLbl val="0"/>
      </c:catAx>
      <c:valAx>
        <c:axId val="34857466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348574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OO-71</dc:creator>
  <cp:keywords/>
  <dc:description/>
  <cp:lastModifiedBy>OO-71</cp:lastModifiedBy>
  <cp:revision>6</cp:revision>
  <cp:lastPrinted>2023-02-14T09:51:00Z</cp:lastPrinted>
  <dcterms:created xsi:type="dcterms:W3CDTF">2025-01-28T14:10:00Z</dcterms:created>
  <dcterms:modified xsi:type="dcterms:W3CDTF">2025-01-31T12:27:00Z</dcterms:modified>
</cp:coreProperties>
</file>