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21" w:rsidRDefault="004A5621" w:rsidP="004A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Налоги и налогообложение </w:t>
      </w:r>
    </w:p>
    <w:p w:rsidR="006C5D49" w:rsidRDefault="004A5621" w:rsidP="004A5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Минераловодского городского округа</w:t>
      </w:r>
    </w:p>
    <w:p w:rsidR="004A5621" w:rsidRDefault="004A5621" w:rsidP="004A5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621" w:rsidRPr="00D10382" w:rsidRDefault="00A16907" w:rsidP="00A16907">
      <w:pPr>
        <w:spacing w:after="0" w:line="240" w:lineRule="auto"/>
        <w:ind w:firstLine="709"/>
        <w:rPr>
          <w:rFonts w:ascii="Conv_PFDINTEXTCONDPRO-MEDIUM" w:hAnsi="Conv_PFDINTEXTCONDPRO-MEDIUM"/>
          <w:b/>
          <w:caps/>
          <w:spacing w:val="20"/>
          <w:sz w:val="32"/>
          <w:szCs w:val="32"/>
          <w:u w:val="single"/>
          <w:shd w:val="clear" w:color="auto" w:fill="FFFFFF"/>
        </w:rPr>
      </w:pPr>
      <w:r w:rsidRPr="00A16907">
        <w:rPr>
          <w:rFonts w:ascii="Conv_PFDINTEXTCONDPRO-MEDIUM" w:hAnsi="Conv_PFDINTEXTCONDPRO-MEDIUM"/>
          <w:b/>
          <w:caps/>
          <w:color w:val="405965"/>
          <w:sz w:val="36"/>
          <w:szCs w:val="36"/>
          <w:shd w:val="clear" w:color="auto" w:fill="FFFFFF"/>
        </w:rPr>
        <w:t xml:space="preserve">                    </w:t>
      </w:r>
      <w:r>
        <w:rPr>
          <w:rFonts w:ascii="Conv_PFDINTEXTCONDPRO-MEDIUM" w:hAnsi="Conv_PFDINTEXTCONDPRO-MEDIUM"/>
          <w:b/>
          <w:caps/>
          <w:color w:val="405965"/>
          <w:sz w:val="36"/>
          <w:szCs w:val="36"/>
          <w:shd w:val="clear" w:color="auto" w:fill="FFFFFF"/>
        </w:rPr>
        <w:t xml:space="preserve"> </w:t>
      </w:r>
      <w:r w:rsidR="00D10382">
        <w:rPr>
          <w:rFonts w:ascii="Conv_PFDINTEXTCONDPRO-MEDIUM" w:hAnsi="Conv_PFDINTEXTCONDPRO-MEDIUM"/>
          <w:b/>
          <w:caps/>
          <w:color w:val="405965"/>
          <w:sz w:val="36"/>
          <w:szCs w:val="36"/>
          <w:shd w:val="clear" w:color="auto" w:fill="FFFFFF"/>
        </w:rPr>
        <w:t xml:space="preserve">   </w:t>
      </w:r>
      <w:r>
        <w:rPr>
          <w:rFonts w:ascii="Conv_PFDINTEXTCONDPRO-MEDIUM" w:hAnsi="Conv_PFDINTEXTCONDPRO-MEDIUM"/>
          <w:b/>
          <w:caps/>
          <w:color w:val="405965"/>
          <w:sz w:val="36"/>
          <w:szCs w:val="36"/>
          <w:shd w:val="clear" w:color="auto" w:fill="FFFFFF"/>
        </w:rPr>
        <w:t xml:space="preserve"> </w:t>
      </w:r>
      <w:r w:rsidR="004A5621" w:rsidRPr="00D10382">
        <w:rPr>
          <w:rFonts w:ascii="Conv_PFDINTEXTCONDPRO-MEDIUM" w:hAnsi="Conv_PFDINTEXTCONDPRO-MEDIUM"/>
          <w:b/>
          <w:caps/>
          <w:spacing w:val="20"/>
          <w:sz w:val="32"/>
          <w:szCs w:val="32"/>
          <w:u w:val="single"/>
          <w:shd w:val="clear" w:color="auto" w:fill="FFFFFF"/>
        </w:rPr>
        <w:t>Местные налоги</w:t>
      </w:r>
    </w:p>
    <w:p w:rsidR="004A5621" w:rsidRDefault="004E20F0" w:rsidP="004A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ADE6D" wp14:editId="0783DEF5">
                <wp:simplePos x="0" y="0"/>
                <wp:positionH relativeFrom="column">
                  <wp:posOffset>4711065</wp:posOffset>
                </wp:positionH>
                <wp:positionV relativeFrom="paragraph">
                  <wp:posOffset>118110</wp:posOffset>
                </wp:positionV>
                <wp:extent cx="323850" cy="581025"/>
                <wp:effectExtent l="19050" t="0" r="1905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70.95pt;margin-top:9.3pt;width:25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" adj="15580" fillcolor="#4f81bd" strokecolor="#385d8a" strokeweight="2pt"/>
            </w:pict>
          </mc:Fallback>
        </mc:AlternateContent>
      </w:r>
      <w:r w:rsidR="006A7A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65BE4" wp14:editId="350FFDDD">
                <wp:simplePos x="0" y="0"/>
                <wp:positionH relativeFrom="column">
                  <wp:posOffset>1053465</wp:posOffset>
                </wp:positionH>
                <wp:positionV relativeFrom="paragraph">
                  <wp:posOffset>118110</wp:posOffset>
                </wp:positionV>
                <wp:extent cx="323850" cy="58102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82.95pt;margin-top:9.3pt;width:25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" adj="15580" fillcolor="#4f81bd [3204]" strokecolor="#243f60 [1604]" strokeweight="2pt"/>
            </w:pict>
          </mc:Fallback>
        </mc:AlternateContent>
      </w:r>
    </w:p>
    <w:p w:rsidR="004A5621" w:rsidRDefault="00D10382" w:rsidP="00D10382">
      <w:pPr>
        <w:tabs>
          <w:tab w:val="left" w:pos="64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A5621" w:rsidRDefault="004A5621" w:rsidP="004A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907" w:rsidRDefault="00A16907" w:rsidP="00A1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A5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0382" w:rsidRDefault="00A16907" w:rsidP="00A16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</w:pPr>
      <w:r w:rsidRP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</w:t>
      </w:r>
      <w:r w:rsidR="006A7A36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</w:t>
      </w:r>
      <w:r w:rsidR="00D10382" w:rsidRP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>ЗЕМЕЛЬНЫЙ</w:t>
      </w:r>
      <w:r w:rsidRP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ab/>
        <w:t xml:space="preserve">       </w:t>
      </w:r>
      <w:r w:rsid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      </w:t>
      </w:r>
      <w:r w:rsidR="00DF3C6A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     </w:t>
      </w:r>
      <w:r w:rsidR="004E20F0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 </w:t>
      </w:r>
      <w:r w:rsid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НАЛОГ </w:t>
      </w:r>
    </w:p>
    <w:p w:rsidR="00A16907" w:rsidRPr="00D10382" w:rsidRDefault="00335616" w:rsidP="00A16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НАЛОГ</w:t>
      </w:r>
      <w:r w:rsid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                                  </w:t>
      </w:r>
      <w:r w:rsidR="00D10382" w:rsidRP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>НА ИМУЩЕСТВО</w:t>
      </w:r>
      <w:r w:rsidR="00A16907" w:rsidRPr="00D10382"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 xml:space="preserve"> </w:t>
      </w:r>
    </w:p>
    <w:p w:rsidR="006A7A36" w:rsidRPr="00335616" w:rsidRDefault="00335616" w:rsidP="00335616">
      <w:pPr>
        <w:tabs>
          <w:tab w:val="left" w:pos="6375"/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ФИЗИЧЕСКИХ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35616" w:rsidRDefault="00335616" w:rsidP="004E20F0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7FA6" w:rsidRDefault="00957FA6" w:rsidP="00957FA6">
      <w:pPr>
        <w:tabs>
          <w:tab w:val="left" w:pos="66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лица</w:t>
      </w:r>
      <w:r w:rsidR="00DF3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68C">
        <w:rPr>
          <w:rFonts w:ascii="Times New Roman" w:hAnsi="Times New Roman" w:cs="Times New Roman"/>
          <w:sz w:val="28"/>
          <w:szCs w:val="28"/>
          <w:shd w:val="clear" w:color="auto" w:fill="FFFFFF"/>
        </w:rPr>
        <w:t>(ФЛ)</w:t>
      </w:r>
    </w:p>
    <w:p w:rsidR="006A7A36" w:rsidRDefault="00957FA6" w:rsidP="00957FA6">
      <w:pPr>
        <w:tabs>
          <w:tab w:val="left" w:pos="57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 w:rsidR="006A7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предприниматели</w:t>
      </w:r>
      <w:r w:rsidR="002C4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(ИП)</w:t>
      </w:r>
    </w:p>
    <w:p w:rsidR="000A662D" w:rsidRDefault="00957FA6" w:rsidP="00957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="002C468C">
        <w:rPr>
          <w:rFonts w:ascii="Times New Roman" w:hAnsi="Times New Roman" w:cs="Times New Roman"/>
          <w:sz w:val="28"/>
          <w:szCs w:val="28"/>
        </w:rPr>
        <w:t xml:space="preserve"> (ЮЛ)</w:t>
      </w:r>
    </w:p>
    <w:p w:rsidR="004E20F0" w:rsidRPr="00945522" w:rsidRDefault="000A662D" w:rsidP="00945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2D">
        <w:rPr>
          <w:rFonts w:ascii="Times New Roman" w:hAnsi="Times New Roman" w:cs="Times New Roman"/>
          <w:b/>
          <w:sz w:val="28"/>
          <w:szCs w:val="28"/>
        </w:rPr>
        <w:t>ЗЕМЕЛЬНЫЙ НАЛОГ</w:t>
      </w:r>
    </w:p>
    <w:p w:rsidR="00CE010F" w:rsidRPr="00CE010F" w:rsidRDefault="00CE010F" w:rsidP="004B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0F">
        <w:rPr>
          <w:rFonts w:ascii="Times New Roman" w:hAnsi="Times New Roman" w:cs="Times New Roman"/>
          <w:sz w:val="28"/>
          <w:szCs w:val="28"/>
        </w:rPr>
        <w:t xml:space="preserve">Земельный налог на территории Минераловодского городского округа установлен в соответствии с решением Совета депутатов Минераловодского городского </w:t>
      </w:r>
      <w:r w:rsidR="0083354D">
        <w:rPr>
          <w:rFonts w:ascii="Times New Roman" w:hAnsi="Times New Roman" w:cs="Times New Roman"/>
          <w:sz w:val="28"/>
          <w:szCs w:val="28"/>
        </w:rPr>
        <w:t>округа Ставропольского края от 20 ноября 2020</w:t>
      </w:r>
      <w:r w:rsidRPr="00CE01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354D">
        <w:rPr>
          <w:rFonts w:ascii="Times New Roman" w:hAnsi="Times New Roman" w:cs="Times New Roman"/>
          <w:sz w:val="28"/>
          <w:szCs w:val="28"/>
        </w:rPr>
        <w:t>18</w:t>
      </w:r>
      <w:r w:rsidR="00290FCC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Минераловодского городского округа Ставропольского края»</w:t>
      </w:r>
      <w:r w:rsidRPr="00CE0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0E0" w:rsidRPr="00207510" w:rsidRDefault="005B70E0" w:rsidP="005B70E0">
      <w:pPr>
        <w:tabs>
          <w:tab w:val="left" w:pos="3480"/>
        </w:tabs>
        <w:rPr>
          <w:rFonts w:ascii="Times New Roman" w:hAnsi="Times New Roman" w:cs="Times New Roman"/>
          <w:b/>
          <w:sz w:val="20"/>
          <w:szCs w:val="20"/>
        </w:rPr>
      </w:pPr>
      <w:r w:rsidRPr="00207510">
        <w:rPr>
          <w:rFonts w:ascii="Times New Roman" w:hAnsi="Times New Roman" w:cs="Times New Roman"/>
          <w:b/>
          <w:sz w:val="20"/>
          <w:szCs w:val="20"/>
        </w:rPr>
        <w:tab/>
      </w:r>
    </w:p>
    <w:p w:rsidR="004E20F0" w:rsidRPr="00297550" w:rsidRDefault="000A662D" w:rsidP="005B70E0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tbl>
      <w:tblPr>
        <w:tblW w:w="493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1602"/>
        <w:gridCol w:w="953"/>
        <w:gridCol w:w="911"/>
        <w:gridCol w:w="889"/>
      </w:tblGrid>
      <w:tr w:rsidR="000A7B59" w:rsidRPr="000A7B59" w:rsidTr="00DE315C">
        <w:trPr>
          <w:trHeight w:val="719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0A7B59" w:rsidRPr="000A7B59" w:rsidRDefault="000A7B59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0A7B59" w:rsidRPr="000A7B59" w:rsidRDefault="000A7B59" w:rsidP="001D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</w:t>
            </w:r>
          </w:p>
          <w:p w:rsidR="000A7B59" w:rsidRPr="000A7B59" w:rsidRDefault="000A7B59" w:rsidP="001D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земельного участка</w:t>
            </w:r>
          </w:p>
        </w:tc>
        <w:tc>
          <w:tcPr>
            <w:tcW w:w="1602" w:type="dxa"/>
            <w:vMerge w:val="restart"/>
            <w:shd w:val="clear" w:color="auto" w:fill="FFFFFF"/>
            <w:vAlign w:val="center"/>
          </w:tcPr>
          <w:p w:rsidR="000A7B59" w:rsidRPr="000A7B59" w:rsidRDefault="000A7B59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  <w:proofErr w:type="spellStart"/>
            <w:proofErr w:type="gramStart"/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</w:t>
            </w:r>
            <w:r w:rsidR="00310A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тельщиков</w:t>
            </w:r>
            <w:proofErr w:type="spellEnd"/>
            <w:proofErr w:type="gramEnd"/>
          </w:p>
        </w:tc>
        <w:tc>
          <w:tcPr>
            <w:tcW w:w="2753" w:type="dxa"/>
            <w:gridSpan w:val="3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0A7B59" w:rsidRPr="000A7B59" w:rsidRDefault="000A7B59" w:rsidP="005863F5">
            <w:pPr>
              <w:spacing w:after="0"/>
              <w:ind w:left="-10"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ставки </w:t>
            </w:r>
          </w:p>
          <w:p w:rsidR="000A7B59" w:rsidRPr="000A7B59" w:rsidRDefault="000A7B59" w:rsidP="005863F5">
            <w:pPr>
              <w:spacing w:after="0"/>
              <w:ind w:left="-10"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в налоговом периоде, %</w:t>
            </w:r>
          </w:p>
        </w:tc>
      </w:tr>
      <w:tr w:rsidR="000A7B59" w:rsidRPr="000A7B59" w:rsidTr="00DE315C">
        <w:trPr>
          <w:trHeight w:val="231"/>
        </w:trPr>
        <w:tc>
          <w:tcPr>
            <w:tcW w:w="426" w:type="dxa"/>
            <w:vMerge/>
            <w:shd w:val="clear" w:color="auto" w:fill="FFFFFF"/>
          </w:tcPr>
          <w:p w:rsidR="000A7B59" w:rsidRPr="000A7B59" w:rsidRDefault="000A7B59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0A7B59" w:rsidRPr="000A7B59" w:rsidRDefault="000A7B59" w:rsidP="001D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FFFFFF"/>
            <w:vAlign w:val="center"/>
          </w:tcPr>
          <w:p w:rsidR="000A7B59" w:rsidRPr="000A7B59" w:rsidRDefault="000A7B59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0A7B59" w:rsidRPr="000A7B59" w:rsidRDefault="000A7B59" w:rsidP="0083354D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35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0A7B59" w:rsidRPr="000A7B59" w:rsidRDefault="000A7B59" w:rsidP="0083354D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3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1 г.</w:t>
            </w:r>
          </w:p>
        </w:tc>
        <w:tc>
          <w:tcPr>
            <w:tcW w:w="889" w:type="dxa"/>
            <w:shd w:val="clear" w:color="auto" w:fill="FFFFFF"/>
          </w:tcPr>
          <w:p w:rsidR="000A7B59" w:rsidRPr="000A7B59" w:rsidRDefault="000A7B59" w:rsidP="0083354D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33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A7B59" w:rsidRPr="000A7B59" w:rsidTr="00DE315C">
        <w:trPr>
          <w:trHeight w:val="702"/>
        </w:trPr>
        <w:tc>
          <w:tcPr>
            <w:tcW w:w="426" w:type="dxa"/>
            <w:shd w:val="clear" w:color="auto" w:fill="FBFBFB"/>
          </w:tcPr>
          <w:p w:rsidR="000A7B59" w:rsidRPr="000A7B59" w:rsidRDefault="0083354D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B59"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0A7B59" w:rsidRPr="00957FA6" w:rsidRDefault="00CB208E" w:rsidP="006A0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7B59" w:rsidRPr="00957FA6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 w:rsidR="0083354D">
              <w:rPr>
                <w:rFonts w:ascii="Times New Roman" w:hAnsi="Times New Roman" w:cs="Times New Roman"/>
                <w:sz w:val="24"/>
                <w:szCs w:val="24"/>
              </w:rPr>
              <w:t>ые участки, предназначенные для</w:t>
            </w:r>
            <w:r w:rsidR="00957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B59" w:rsidRPr="00957FA6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  <w:r w:rsidR="00957FA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участков, приобретённых</w:t>
            </w:r>
            <w:r w:rsidR="006A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A6"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(предоставленных) для индивидуального жилищного строительства, используемых в предпринимательской деятельности) </w:t>
            </w:r>
          </w:p>
        </w:tc>
        <w:tc>
          <w:tcPr>
            <w:tcW w:w="1602" w:type="dxa"/>
            <w:shd w:val="clear" w:color="auto" w:fill="FBFBFB"/>
          </w:tcPr>
          <w:p w:rsidR="000A7B59" w:rsidRPr="000A7B59" w:rsidRDefault="000A7B59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9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0A7B59" w:rsidRPr="000A7B59" w:rsidRDefault="000A7B59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1" w:type="dxa"/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0A7B59" w:rsidRPr="000A7B59" w:rsidRDefault="000A7B59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89" w:type="dxa"/>
            <w:shd w:val="clear" w:color="auto" w:fill="FBFBFB"/>
          </w:tcPr>
          <w:p w:rsidR="000A7B59" w:rsidRPr="000A7B59" w:rsidRDefault="000A7B59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F6476" w:rsidRPr="000A7B59" w:rsidTr="00DE315C">
        <w:tc>
          <w:tcPr>
            <w:tcW w:w="426" w:type="dxa"/>
          </w:tcPr>
          <w:p w:rsidR="00AF6476" w:rsidRPr="000A7B59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CB208E" w:rsidP="0023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емельные участки, 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используемые в предпринимательской деятельности, 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приобретённые (предоставленные) 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236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68FE">
              <w:rPr>
                <w:rFonts w:ascii="Times New Roman" w:hAnsi="Times New Roman" w:cs="Times New Roman"/>
                <w:sz w:val="24"/>
                <w:szCs w:val="24"/>
              </w:rPr>
              <w:t>приусадебные земельные участки)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огородничества,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земельные участки общего назначения, предусмотренные Федеральным зак</w:t>
            </w:r>
            <w:r w:rsidR="00654CCB">
              <w:rPr>
                <w:rFonts w:ascii="Times New Roman" w:hAnsi="Times New Roman" w:cs="Times New Roman"/>
                <w:sz w:val="24"/>
                <w:szCs w:val="24"/>
              </w:rPr>
              <w:t xml:space="preserve">оном от 29 июля 2017 года </w:t>
            </w:r>
            <w:r w:rsidR="00C46811">
              <w:rPr>
                <w:rFonts w:ascii="Times New Roman" w:hAnsi="Times New Roman" w:cs="Times New Roman"/>
                <w:sz w:val="24"/>
                <w:szCs w:val="24"/>
              </w:rPr>
              <w:t>№ 217-</w:t>
            </w:r>
            <w:r w:rsidR="00AF6476">
              <w:rPr>
                <w:rFonts w:ascii="Times New Roman" w:hAnsi="Times New Roman" w:cs="Times New Roman"/>
                <w:sz w:val="24"/>
                <w:szCs w:val="24"/>
              </w:rPr>
              <w:t>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602" w:type="dxa"/>
          </w:tcPr>
          <w:p w:rsidR="00AF6476" w:rsidRPr="000A7B59" w:rsidRDefault="00AF6476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953" w:type="dxa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F6476" w:rsidRPr="000A7B59" w:rsidRDefault="002368FE" w:rsidP="00236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1" w:type="dxa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F6476" w:rsidRPr="000A7B59" w:rsidRDefault="002368FE" w:rsidP="002368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89" w:type="dxa"/>
          </w:tcPr>
          <w:p w:rsidR="00AF6476" w:rsidRPr="000A7B59" w:rsidRDefault="00AF6476" w:rsidP="00164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F6476" w:rsidRPr="000A7B59" w:rsidTr="00DE315C">
        <w:tc>
          <w:tcPr>
            <w:tcW w:w="426" w:type="dxa"/>
          </w:tcPr>
          <w:p w:rsidR="00AF6476" w:rsidRPr="000A7B59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CB208E" w:rsidP="00D52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емельные участки, предназначенные для сельскохозяйственного использования </w:t>
            </w:r>
          </w:p>
        </w:tc>
        <w:tc>
          <w:tcPr>
            <w:tcW w:w="1602" w:type="dxa"/>
          </w:tcPr>
          <w:p w:rsidR="00AF6476" w:rsidRPr="000A7B59" w:rsidRDefault="00AF6476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95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AF6476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F6476" w:rsidRPr="000A7B59" w:rsidRDefault="00AF6476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</w:tcPr>
          <w:p w:rsidR="00AF6476" w:rsidRPr="000A7B59" w:rsidRDefault="00AF6476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368FE" w:rsidRPr="000A7B59" w:rsidTr="00DE315C">
        <w:tc>
          <w:tcPr>
            <w:tcW w:w="426" w:type="dxa"/>
            <w:shd w:val="clear" w:color="auto" w:fill="FBFBFB"/>
          </w:tcPr>
          <w:p w:rsidR="002368FE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Default="002368FE" w:rsidP="00236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="00AF18E4">
              <w:rPr>
                <w:rFonts w:ascii="Times New Roman" w:hAnsi="Times New Roman" w:cs="Times New Roman"/>
                <w:sz w:val="24"/>
                <w:szCs w:val="24"/>
              </w:rPr>
              <w:t>, предназначенные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жилой застройки, за исключением земельных участков, указанных в пункте 1</w:t>
            </w:r>
          </w:p>
        </w:tc>
        <w:tc>
          <w:tcPr>
            <w:tcW w:w="1602" w:type="dxa"/>
            <w:shd w:val="clear" w:color="auto" w:fill="FBFBFB"/>
          </w:tcPr>
          <w:p w:rsidR="002368FE" w:rsidRPr="000A7B59" w:rsidRDefault="002368FE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FE">
              <w:rPr>
                <w:rFonts w:ascii="Times New Roman" w:hAnsi="Times New Roman" w:cs="Times New Roman"/>
                <w:sz w:val="24"/>
                <w:szCs w:val="24"/>
              </w:rPr>
              <w:t>ФЛ, ЮЛ, ИП</w:t>
            </w:r>
          </w:p>
        </w:tc>
        <w:tc>
          <w:tcPr>
            <w:tcW w:w="9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Pr="000A7B59" w:rsidRDefault="002368FE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Pr="000A7B59" w:rsidRDefault="002368FE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FBFBFB"/>
          </w:tcPr>
          <w:p w:rsidR="002368FE" w:rsidRPr="000A7B59" w:rsidRDefault="002368FE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368FE" w:rsidRPr="000A7B59" w:rsidTr="00E81360">
        <w:tc>
          <w:tcPr>
            <w:tcW w:w="426" w:type="dxa"/>
            <w:shd w:val="clear" w:color="auto" w:fill="FBFBFB"/>
          </w:tcPr>
          <w:p w:rsidR="002368FE" w:rsidRPr="000A7B59" w:rsidRDefault="002368FE" w:rsidP="00E8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68FE" w:rsidRPr="000A7B59" w:rsidRDefault="002368FE" w:rsidP="00E8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емельные участки, предназначенные для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коммунального обслуживания</w:t>
            </w:r>
          </w:p>
        </w:tc>
        <w:tc>
          <w:tcPr>
            <w:tcW w:w="1602" w:type="dxa"/>
            <w:shd w:val="clear" w:color="auto" w:fill="FBFBFB"/>
          </w:tcPr>
          <w:p w:rsidR="002368FE" w:rsidRPr="000A7B59" w:rsidRDefault="002368FE" w:rsidP="00E81360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9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368FE" w:rsidRPr="000A7B59" w:rsidRDefault="002368FE" w:rsidP="00E81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Pr="000A7B59" w:rsidRDefault="002368FE" w:rsidP="00E81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FBFBFB"/>
          </w:tcPr>
          <w:p w:rsidR="002368FE" w:rsidRPr="000A7B59" w:rsidRDefault="002368FE" w:rsidP="00E81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F6476" w:rsidRPr="000A7B59" w:rsidTr="00DE315C">
        <w:tc>
          <w:tcPr>
            <w:tcW w:w="426" w:type="dxa"/>
            <w:shd w:val="clear" w:color="auto" w:fill="FBFBFB"/>
          </w:tcPr>
          <w:p w:rsidR="00AF6476" w:rsidRPr="000A7B59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CB208E" w:rsidP="00D52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емельные участки, предназначенные для размещения объектов отдыха (рекреации) и санаторной деятельности</w:t>
            </w:r>
          </w:p>
        </w:tc>
        <w:tc>
          <w:tcPr>
            <w:tcW w:w="1602" w:type="dxa"/>
            <w:shd w:val="clear" w:color="auto" w:fill="FBFBFB"/>
          </w:tcPr>
          <w:p w:rsidR="00AF6476" w:rsidRPr="000A7B59" w:rsidRDefault="00AF6476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DD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9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AF6476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F6476" w:rsidRPr="000A7B59" w:rsidRDefault="00AF6476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FBFBFB"/>
          </w:tcPr>
          <w:p w:rsidR="00AF6476" w:rsidRPr="000A7B59" w:rsidRDefault="00AF6476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F6476" w:rsidRPr="000A7B59" w:rsidTr="00DE315C">
        <w:tc>
          <w:tcPr>
            <w:tcW w:w="426" w:type="dxa"/>
          </w:tcPr>
          <w:p w:rsidR="00AF6476" w:rsidRPr="000A7B59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CB208E" w:rsidP="00D52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6476" w:rsidRPr="000A7B59">
              <w:rPr>
                <w:rFonts w:ascii="Times New Roman" w:hAnsi="Times New Roman" w:cs="Times New Roman"/>
                <w:sz w:val="24"/>
                <w:szCs w:val="24"/>
              </w:rPr>
              <w:t>емельные участки, предназначенные для обеспечения обороны и безопасности</w:t>
            </w:r>
          </w:p>
        </w:tc>
        <w:tc>
          <w:tcPr>
            <w:tcW w:w="1602" w:type="dxa"/>
          </w:tcPr>
          <w:p w:rsidR="00AF6476" w:rsidRPr="000A7B59" w:rsidRDefault="00AF6476" w:rsidP="00310A6B">
            <w:pPr>
              <w:tabs>
                <w:tab w:val="left" w:pos="331"/>
              </w:tabs>
              <w:spacing w:after="0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953" w:type="dxa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F6476" w:rsidRPr="000A7B59" w:rsidRDefault="00AF6476" w:rsidP="00D522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F6476" w:rsidRPr="000A7B59" w:rsidRDefault="00AF6476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</w:tcPr>
          <w:p w:rsidR="00AF6476" w:rsidRPr="000A7B59" w:rsidRDefault="00AF6476" w:rsidP="00943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368FE" w:rsidRPr="000A7B59" w:rsidTr="00DE315C">
        <w:tc>
          <w:tcPr>
            <w:tcW w:w="426" w:type="dxa"/>
            <w:shd w:val="clear" w:color="auto" w:fill="FBFBFB"/>
          </w:tcPr>
          <w:p w:rsidR="002368FE" w:rsidRDefault="002368FE" w:rsidP="000A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Default="002368FE" w:rsidP="00671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ограниченные в обороте в соответствии с законодательством Российской Федерации</w:t>
            </w:r>
          </w:p>
        </w:tc>
        <w:tc>
          <w:tcPr>
            <w:tcW w:w="1602" w:type="dxa"/>
            <w:shd w:val="clear" w:color="auto" w:fill="FBFBFB"/>
          </w:tcPr>
          <w:p w:rsidR="002368FE" w:rsidRPr="000A7B59" w:rsidRDefault="0067102C" w:rsidP="00310A6B">
            <w:pPr>
              <w:spacing w:after="0" w:line="240" w:lineRule="auto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</w:p>
        </w:tc>
        <w:tc>
          <w:tcPr>
            <w:tcW w:w="95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Pr="000A7B59" w:rsidRDefault="0067102C" w:rsidP="00FB6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11" w:type="dxa"/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368FE" w:rsidRDefault="0067102C" w:rsidP="0094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89" w:type="dxa"/>
            <w:shd w:val="clear" w:color="auto" w:fill="FBFBFB"/>
          </w:tcPr>
          <w:p w:rsidR="002368FE" w:rsidRPr="00065FDC" w:rsidRDefault="0067102C" w:rsidP="0094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7102C" w:rsidRPr="000A7B59" w:rsidTr="006710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7102C" w:rsidRPr="000A7B59" w:rsidRDefault="0067102C" w:rsidP="00E8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102C" w:rsidRPr="000A7B59" w:rsidRDefault="0067102C" w:rsidP="00E81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рочие земельные участки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7102C" w:rsidRPr="000A7B59" w:rsidRDefault="0067102C" w:rsidP="0067102C">
            <w:pPr>
              <w:spacing w:after="0" w:line="240" w:lineRule="auto"/>
              <w:ind w:left="154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102C" w:rsidRPr="000A7B59" w:rsidRDefault="0067102C" w:rsidP="0067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noWrap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67102C" w:rsidRPr="0067102C" w:rsidRDefault="0067102C" w:rsidP="0067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7102C" w:rsidRPr="0067102C" w:rsidRDefault="0067102C" w:rsidP="0067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DE315C" w:rsidRDefault="00DE315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CB" w:rsidRDefault="000A662D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Местные </w:t>
      </w:r>
      <w:r w:rsidR="000F36AA">
        <w:rPr>
          <w:rFonts w:ascii="Times New Roman" w:hAnsi="Times New Roman" w:cs="Times New Roman"/>
          <w:b/>
          <w:sz w:val="28"/>
          <w:szCs w:val="28"/>
        </w:rPr>
        <w:t>налоговые льготы</w:t>
      </w:r>
      <w:r w:rsidR="00C46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847" w:rsidRDefault="00C46811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земельному налогу</w:t>
      </w:r>
    </w:p>
    <w:p w:rsidR="00654CCB" w:rsidRPr="0041015A" w:rsidRDefault="00654CCB" w:rsidP="00654CCB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993"/>
        <w:gridCol w:w="992"/>
        <w:gridCol w:w="992"/>
      </w:tblGrid>
      <w:tr w:rsidR="000F36AA" w:rsidRPr="0041015A" w:rsidTr="00DD6EB2">
        <w:tc>
          <w:tcPr>
            <w:tcW w:w="567" w:type="dxa"/>
            <w:vMerge w:val="restart"/>
            <w:vAlign w:val="center"/>
          </w:tcPr>
          <w:p w:rsidR="000F36AA" w:rsidRPr="0041015A" w:rsidRDefault="000F36AA" w:rsidP="0062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0F36AA" w:rsidRPr="0041015A" w:rsidRDefault="000F36AA" w:rsidP="0062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F36AA" w:rsidRPr="0041015A" w:rsidRDefault="00F07847" w:rsidP="00622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получателя льготы </w:t>
            </w:r>
          </w:p>
        </w:tc>
        <w:tc>
          <w:tcPr>
            <w:tcW w:w="2977" w:type="dxa"/>
            <w:gridSpan w:val="3"/>
          </w:tcPr>
          <w:p w:rsidR="000F36AA" w:rsidRPr="0041015A" w:rsidRDefault="000F36AA" w:rsidP="00622C0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льготы</w:t>
            </w:r>
          </w:p>
          <w:p w:rsidR="000F36AA" w:rsidRPr="0041015A" w:rsidRDefault="000F36AA" w:rsidP="00622C05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в налоговом периоде</w:t>
            </w:r>
            <w:proofErr w:type="gramStart"/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gramEnd"/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+»</w:t>
            </w:r>
            <w:r w:rsidR="00F07847"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«-»</w:t>
            </w:r>
          </w:p>
        </w:tc>
      </w:tr>
      <w:tr w:rsidR="000F36AA" w:rsidRPr="0041015A" w:rsidTr="00DD6EB2">
        <w:tc>
          <w:tcPr>
            <w:tcW w:w="567" w:type="dxa"/>
            <w:vMerge/>
          </w:tcPr>
          <w:p w:rsidR="000F36AA" w:rsidRPr="0041015A" w:rsidRDefault="000F36AA" w:rsidP="00622C05">
            <w:pPr>
              <w:tabs>
                <w:tab w:val="left" w:pos="1920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F36AA" w:rsidRPr="0041015A" w:rsidRDefault="000F36AA" w:rsidP="00622C05">
            <w:pPr>
              <w:tabs>
                <w:tab w:val="left" w:pos="1920"/>
              </w:tabs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F36AA" w:rsidRPr="0041015A" w:rsidRDefault="00A37428" w:rsidP="00A37428">
            <w:pPr>
              <w:spacing w:before="24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F36AA"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0F36AA" w:rsidRPr="0041015A" w:rsidRDefault="000F36AA" w:rsidP="00A37428">
            <w:pPr>
              <w:spacing w:before="24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374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1 г.</w:t>
            </w:r>
          </w:p>
        </w:tc>
        <w:tc>
          <w:tcPr>
            <w:tcW w:w="992" w:type="dxa"/>
          </w:tcPr>
          <w:p w:rsidR="000F36AA" w:rsidRPr="0041015A" w:rsidRDefault="000F36AA" w:rsidP="00A37428">
            <w:pPr>
              <w:spacing w:before="24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374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0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F36AA" w:rsidRPr="0041015A" w:rsidTr="00DD6EB2">
        <w:tc>
          <w:tcPr>
            <w:tcW w:w="567" w:type="dxa"/>
          </w:tcPr>
          <w:p w:rsidR="000F36AA" w:rsidRPr="0041015A" w:rsidRDefault="00A37428" w:rsidP="000F2EC7">
            <w:pPr>
              <w:tabs>
                <w:tab w:val="left" w:pos="192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847" w:rsidRPr="0041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D6EB2" w:rsidRDefault="00DD6EB2" w:rsidP="000F2EC7">
            <w:pPr>
              <w:keepNext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одного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используемого для ведения предпринимательской деятельности,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или приобретенного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(предоставленного)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для жилищного строительства,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(приусадебного земельного участка)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, одного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хранения автотранспорта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и одного земельного участка, приобретенного (предоставленного)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огородничества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6EB2" w:rsidRDefault="00DD6EB2" w:rsidP="000F2EC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F36AA" w:rsidRPr="00DD6EB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36AA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войны, вдов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F36AA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 ветер</w:t>
            </w:r>
            <w:r w:rsidR="00565CAA" w:rsidRPr="00DD6EB2">
              <w:rPr>
                <w:rFonts w:ascii="Times New Roman" w:hAnsi="Times New Roman" w:cs="Times New Roman"/>
                <w:sz w:val="24"/>
                <w:szCs w:val="24"/>
              </w:rPr>
              <w:t>анов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6EB2" w:rsidRDefault="00DD6EB2" w:rsidP="000F2EC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CAA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 труженик</w:t>
            </w:r>
            <w:r w:rsidR="000F2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36AA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6EB2" w:rsidRDefault="00DD6EB2" w:rsidP="000F2EC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3D05" w:rsidRPr="00DD6EB2">
              <w:rPr>
                <w:rFonts w:ascii="Times New Roman" w:hAnsi="Times New Roman" w:cs="Times New Roman"/>
                <w:sz w:val="24"/>
                <w:szCs w:val="24"/>
              </w:rPr>
              <w:t>супруга (супруг) погибшего (умершего) военнослужащего при исполнении обязанностей военной службы (служебных обязанностей), не вступившая (не вступивший) в повторный брак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F36AA" w:rsidRPr="00DD6EB2" w:rsidRDefault="00DD6EB2" w:rsidP="000F2EC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3D05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(усыновители) погибшего (умершего) </w:t>
            </w:r>
            <w:bookmarkStart w:id="0" w:name="_GoBack"/>
            <w:bookmarkEnd w:id="0"/>
            <w:r w:rsidR="00153D05" w:rsidRPr="00DD6EB2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военнослужащего при исполнении обязанностей военной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(служебных обязанностей)</w:t>
            </w:r>
          </w:p>
        </w:tc>
        <w:tc>
          <w:tcPr>
            <w:tcW w:w="993" w:type="dxa"/>
          </w:tcPr>
          <w:p w:rsidR="000F36AA" w:rsidRPr="0041015A" w:rsidRDefault="00F07847" w:rsidP="00622C05">
            <w:pPr>
              <w:tabs>
                <w:tab w:val="left" w:pos="192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F36AA" w:rsidRPr="0041015A" w:rsidRDefault="00F07847" w:rsidP="00622C05">
            <w:pPr>
              <w:tabs>
                <w:tab w:val="left" w:pos="192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F36AA" w:rsidRPr="0041015A" w:rsidRDefault="000F36AA" w:rsidP="00622C05">
            <w:pPr>
              <w:tabs>
                <w:tab w:val="left" w:pos="192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F36AA" w:rsidRPr="0041015A" w:rsidTr="000F2EC7">
        <w:tc>
          <w:tcPr>
            <w:tcW w:w="567" w:type="dxa"/>
          </w:tcPr>
          <w:p w:rsidR="000F36AA" w:rsidRPr="0041015A" w:rsidRDefault="00290FCC" w:rsidP="000F2EC7">
            <w:pPr>
              <w:tabs>
                <w:tab w:val="left" w:pos="192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847" w:rsidRPr="0041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F36AA" w:rsidRPr="0041015A" w:rsidRDefault="005615B2" w:rsidP="000F2EC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 w:rsidR="000F36AA"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одного земельного участка </w:t>
            </w:r>
            <w:r w:rsidR="00290FCC">
              <w:rPr>
                <w:rFonts w:ascii="Times New Roman" w:hAnsi="Times New Roman" w:cs="Times New Roman"/>
                <w:sz w:val="24"/>
                <w:szCs w:val="24"/>
              </w:rPr>
              <w:t>для хранения автотранспорта</w:t>
            </w:r>
            <w:r w:rsidR="000F36AA" w:rsidRPr="0041015A">
              <w:rPr>
                <w:rFonts w:ascii="Times New Roman" w:hAnsi="Times New Roman" w:cs="Times New Roman"/>
                <w:sz w:val="24"/>
                <w:szCs w:val="24"/>
              </w:rPr>
              <w:t xml:space="preserve"> и неиспользуемого в предпринимательской деятельности</w:t>
            </w:r>
          </w:p>
        </w:tc>
        <w:tc>
          <w:tcPr>
            <w:tcW w:w="993" w:type="dxa"/>
          </w:tcPr>
          <w:p w:rsidR="000F2EC7" w:rsidRDefault="000F2EC7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AA" w:rsidRPr="0041015A" w:rsidRDefault="00F07847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F2EC7" w:rsidRDefault="000F2EC7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AA" w:rsidRPr="0041015A" w:rsidRDefault="00F07847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F2EC7" w:rsidRDefault="000F2EC7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6AA" w:rsidRPr="0041015A" w:rsidRDefault="000F36AA" w:rsidP="000F2EC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B0CDC" w:rsidRDefault="002B0CDC" w:rsidP="00D522B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CCB" w:rsidRPr="0017612A" w:rsidRDefault="00BA14D7" w:rsidP="00D522B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62D" w:rsidRPr="00132060" w:rsidRDefault="000A662D" w:rsidP="00622C05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60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4E20F0" w:rsidRPr="000A662D" w:rsidRDefault="000A662D" w:rsidP="00622C05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060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D522B4" w:rsidRDefault="00D522B4" w:rsidP="00D522B4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510" w:rsidRPr="00622C05" w:rsidRDefault="000A662D" w:rsidP="00622C05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2D">
        <w:rPr>
          <w:rFonts w:ascii="Times New Roman" w:hAnsi="Times New Roman" w:cs="Times New Roman"/>
          <w:sz w:val="28"/>
          <w:szCs w:val="28"/>
        </w:rPr>
        <w:t>Налог на имущество физических лиц являе</w:t>
      </w:r>
      <w:r w:rsidR="0019689C">
        <w:rPr>
          <w:rFonts w:ascii="Times New Roman" w:hAnsi="Times New Roman" w:cs="Times New Roman"/>
          <w:sz w:val="28"/>
          <w:szCs w:val="28"/>
        </w:rPr>
        <w:t>тся местным налогом, установлен</w:t>
      </w:r>
      <w:r w:rsidR="0019689C" w:rsidRPr="0019689C">
        <w:rPr>
          <w:rFonts w:ascii="Times New Roman" w:hAnsi="Times New Roman" w:cs="Times New Roman"/>
          <w:sz w:val="28"/>
          <w:szCs w:val="28"/>
        </w:rPr>
        <w:t xml:space="preserve"> </w:t>
      </w:r>
      <w:r w:rsidR="0019689C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городского округа Ставропольского края от 13 ноября 2015 г. № 64 «О налоге на имущество физических лиц на территории Мине</w:t>
      </w:r>
      <w:r w:rsidR="00132060">
        <w:rPr>
          <w:rFonts w:ascii="Times New Roman" w:hAnsi="Times New Roman" w:cs="Times New Roman"/>
          <w:sz w:val="28"/>
          <w:szCs w:val="28"/>
        </w:rPr>
        <w:t>раловодского городского округа» (в ред. решений Совета депутатов Минераловодского городского округа</w:t>
      </w:r>
      <w:r w:rsidR="00654CCB">
        <w:rPr>
          <w:rFonts w:ascii="Times New Roman" w:hAnsi="Times New Roman" w:cs="Times New Roman"/>
          <w:sz w:val="28"/>
          <w:szCs w:val="28"/>
        </w:rPr>
        <w:t xml:space="preserve"> </w:t>
      </w:r>
      <w:r w:rsidR="00132060" w:rsidRPr="004B08F6">
        <w:rPr>
          <w:rFonts w:ascii="Times New Roman" w:hAnsi="Times New Roman" w:cs="Times New Roman"/>
          <w:sz w:val="28"/>
          <w:szCs w:val="28"/>
        </w:rPr>
        <w:t>Став</w:t>
      </w:r>
      <w:r w:rsidR="00132060">
        <w:rPr>
          <w:rFonts w:ascii="Times New Roman" w:hAnsi="Times New Roman" w:cs="Times New Roman"/>
          <w:sz w:val="28"/>
          <w:szCs w:val="28"/>
        </w:rPr>
        <w:t xml:space="preserve">ропольского края от 27.10.2017 № 468, от </w:t>
      </w:r>
      <w:r w:rsidR="00BC058F">
        <w:rPr>
          <w:rFonts w:ascii="Times New Roman" w:hAnsi="Times New Roman" w:cs="Times New Roman"/>
          <w:sz w:val="28"/>
          <w:szCs w:val="28"/>
        </w:rPr>
        <w:t>23.11.2018 № 598).</w:t>
      </w:r>
      <w:r w:rsidR="001320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C05" w:rsidRDefault="00622C05" w:rsidP="00EA2B4C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EA2B4C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CC" w:rsidRDefault="00290FCC" w:rsidP="00EA2B4C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4C" w:rsidRPr="00EA2B4C" w:rsidRDefault="00EA2B4C" w:rsidP="00EA2B4C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4C">
        <w:rPr>
          <w:rFonts w:ascii="Times New Roman" w:hAnsi="Times New Roman" w:cs="Times New Roman"/>
          <w:b/>
          <w:sz w:val="28"/>
          <w:szCs w:val="28"/>
        </w:rPr>
        <w:lastRenderedPageBreak/>
        <w:t>Налоговые ставки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06"/>
        <w:gridCol w:w="994"/>
        <w:gridCol w:w="990"/>
        <w:gridCol w:w="978"/>
      </w:tblGrid>
      <w:tr w:rsidR="00C46071" w:rsidRPr="00151A2D" w:rsidTr="00C46071">
        <w:tc>
          <w:tcPr>
            <w:tcW w:w="221" w:type="pct"/>
            <w:vMerge w:val="restart"/>
            <w:shd w:val="clear" w:color="auto" w:fill="FFFFFF"/>
            <w:vAlign w:val="center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5" w:type="pct"/>
            <w:vMerge w:val="restart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C46071" w:rsidRPr="00151A2D" w:rsidRDefault="00C46071" w:rsidP="00151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и/или 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дастровая стоимость и/или место</w:t>
            </w:r>
            <w:r w:rsidRPr="00151A2D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объекта и/или вид территориальных зон</w:t>
            </w:r>
          </w:p>
        </w:tc>
        <w:tc>
          <w:tcPr>
            <w:tcW w:w="1543" w:type="pct"/>
            <w:gridSpan w:val="3"/>
            <w:shd w:val="clear" w:color="auto" w:fill="FFFFFF"/>
            <w:vAlign w:val="center"/>
          </w:tcPr>
          <w:p w:rsidR="00C46071" w:rsidRPr="000A7B59" w:rsidRDefault="00C46071" w:rsidP="00E35C99">
            <w:pPr>
              <w:spacing w:after="0"/>
              <w:ind w:left="-10"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ставки </w:t>
            </w:r>
          </w:p>
          <w:p w:rsidR="00C46071" w:rsidRPr="00151A2D" w:rsidRDefault="00C46071" w:rsidP="00151A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b/>
                <w:sz w:val="24"/>
                <w:szCs w:val="24"/>
              </w:rPr>
              <w:t>в налоговом периоде, %</w:t>
            </w:r>
          </w:p>
        </w:tc>
      </w:tr>
      <w:tr w:rsidR="00C46071" w:rsidRPr="00151A2D" w:rsidTr="00C46071">
        <w:tc>
          <w:tcPr>
            <w:tcW w:w="221" w:type="pct"/>
            <w:vMerge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pct"/>
            <w:vMerge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C4607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C46071" w:rsidRPr="00772BA8" w:rsidRDefault="00C46071" w:rsidP="000F2EC7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6" w:type="pct"/>
            <w:vAlign w:val="center"/>
          </w:tcPr>
          <w:p w:rsidR="00C46071" w:rsidRPr="00772BA8" w:rsidRDefault="00C46071" w:rsidP="000F2EC7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>1 г.</w:t>
            </w:r>
          </w:p>
        </w:tc>
        <w:tc>
          <w:tcPr>
            <w:tcW w:w="510" w:type="pct"/>
          </w:tcPr>
          <w:p w:rsidR="00C46071" w:rsidRPr="00772BA8" w:rsidRDefault="00C46071" w:rsidP="000F2EC7">
            <w:pPr>
              <w:spacing w:after="0"/>
              <w:ind w:left="-201"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72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46071" w:rsidRPr="00151A2D" w:rsidTr="00C46071"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C46071" w:rsidRPr="00151A2D" w:rsidRDefault="00C4607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Жилые дома, части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CCB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518" w:type="pct"/>
          </w:tcPr>
          <w:p w:rsidR="00C46071" w:rsidRPr="00151A2D" w:rsidRDefault="00C46071" w:rsidP="00164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6" w:type="pct"/>
          </w:tcPr>
          <w:p w:rsidR="00C46071" w:rsidRPr="000A7B59" w:rsidRDefault="00C46071" w:rsidP="0016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0" w:type="pct"/>
          </w:tcPr>
          <w:p w:rsidR="00C46071" w:rsidRPr="000A7B59" w:rsidRDefault="00C46071" w:rsidP="0016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071" w:rsidRPr="00151A2D" w:rsidTr="00C46071">
        <w:trPr>
          <w:trHeight w:val="968"/>
        </w:trPr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C4607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 в случае, если проектируемым назначением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объектов является жилой дом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6" w:type="pct"/>
          </w:tcPr>
          <w:p w:rsidR="00C46071" w:rsidRDefault="00C46071" w:rsidP="00772BA8">
            <w:pPr>
              <w:jc w:val="center"/>
            </w:pPr>
            <w:r w:rsidRPr="003156C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0" w:type="pct"/>
          </w:tcPr>
          <w:p w:rsidR="00C46071" w:rsidRDefault="00C46071" w:rsidP="00772BA8">
            <w:pPr>
              <w:jc w:val="center"/>
            </w:pPr>
            <w:r w:rsidRPr="003156C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071" w:rsidRPr="00151A2D" w:rsidTr="00C46071">
        <w:tc>
          <w:tcPr>
            <w:tcW w:w="221" w:type="pct"/>
            <w:shd w:val="clear" w:color="auto" w:fill="FBFBFB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pct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C4607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недвижимые комплексы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, в состав которых входит хотя бы один жилой дом</w:t>
            </w:r>
          </w:p>
        </w:tc>
        <w:tc>
          <w:tcPr>
            <w:tcW w:w="518" w:type="pct"/>
            <w:shd w:val="clear" w:color="auto" w:fill="FBFBFB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6" w:type="pct"/>
            <w:shd w:val="clear" w:color="auto" w:fill="FBFBFB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0" w:type="pct"/>
            <w:shd w:val="clear" w:color="auto" w:fill="FBFBFB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071" w:rsidRPr="00151A2D" w:rsidTr="00C46071"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C4607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аражи и </w:t>
            </w:r>
            <w:proofErr w:type="spellStart"/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518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6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0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071" w:rsidRPr="00151A2D" w:rsidTr="00C46071">
        <w:tc>
          <w:tcPr>
            <w:tcW w:w="221" w:type="pct"/>
            <w:shd w:val="clear" w:color="auto" w:fill="FBFBFB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pct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C46071" w:rsidP="005B7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>, площадь каждого из которых не превышает 50 квадратных метров и которые расположены на зем</w:t>
            </w:r>
            <w:r w:rsidR="005B7261">
              <w:rPr>
                <w:rFonts w:ascii="Times New Roman" w:hAnsi="Times New Roman" w:cs="Times New Roman"/>
                <w:sz w:val="24"/>
                <w:szCs w:val="24"/>
              </w:rPr>
              <w:t xml:space="preserve">ельных участках </w:t>
            </w:r>
            <w:r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подсобного, огородничества, садоводства или индивидуального жилищного строительства</w:t>
            </w:r>
          </w:p>
        </w:tc>
        <w:tc>
          <w:tcPr>
            <w:tcW w:w="518" w:type="pct"/>
            <w:shd w:val="clear" w:color="auto" w:fill="FBFBFB"/>
          </w:tcPr>
          <w:p w:rsidR="00C46071" w:rsidRPr="00CB07A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6" w:type="pct"/>
            <w:shd w:val="clear" w:color="auto" w:fill="FBFBFB"/>
          </w:tcPr>
          <w:p w:rsidR="00C46071" w:rsidRPr="00CB07A9" w:rsidRDefault="00C46071" w:rsidP="00CB07A9">
            <w:pPr>
              <w:jc w:val="center"/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0" w:type="pct"/>
            <w:shd w:val="clear" w:color="auto" w:fill="FBFBFB"/>
          </w:tcPr>
          <w:p w:rsidR="00C46071" w:rsidRPr="00CB07A9" w:rsidRDefault="00C46071" w:rsidP="00CB07A9">
            <w:pPr>
              <w:jc w:val="center"/>
            </w:pPr>
            <w:r w:rsidRPr="00CB07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46071" w:rsidRPr="00151A2D" w:rsidTr="00C46071"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436CB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включаемые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перечень, определяемый в соответствии с пунктом 7 статьи 378.2 Налогово</w:t>
            </w:r>
            <w:r w:rsidR="00C46071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</w:tcPr>
          <w:p w:rsidR="00C46071" w:rsidRPr="000A7B59" w:rsidRDefault="000F2EC7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6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0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6071" w:rsidRPr="00151A2D" w:rsidTr="00C46071">
        <w:tc>
          <w:tcPr>
            <w:tcW w:w="221" w:type="pct"/>
            <w:shd w:val="clear" w:color="auto" w:fill="FBFBFB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pct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436CB1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45">
              <w:rPr>
                <w:rFonts w:ascii="Times New Roman" w:hAnsi="Times New Roman" w:cs="Times New Roman"/>
                <w:sz w:val="24"/>
                <w:szCs w:val="24"/>
              </w:rPr>
              <w:t>налогообложения, предусмотренные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абзацем вторым пункта 10 статьи 378.2 Налогово</w:t>
            </w:r>
            <w:r w:rsidR="00C46071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shd w:val="clear" w:color="auto" w:fill="FBFBFB"/>
          </w:tcPr>
          <w:p w:rsidR="000F2EC7" w:rsidRPr="000A7B59" w:rsidRDefault="000F2EC7" w:rsidP="000F2E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6" w:type="pct"/>
            <w:shd w:val="clear" w:color="auto" w:fill="FBFBFB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0" w:type="pct"/>
            <w:shd w:val="clear" w:color="auto" w:fill="FBFBFB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6071" w:rsidRPr="00151A2D" w:rsidTr="00C46071">
        <w:trPr>
          <w:trHeight w:val="620"/>
        </w:trPr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D65D45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518" w:type="pct"/>
          </w:tcPr>
          <w:p w:rsidR="00C46071" w:rsidRPr="000A7B59" w:rsidRDefault="000F2EC7" w:rsidP="000F2E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0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6071" w:rsidRPr="00151A2D" w:rsidTr="00C46071">
        <w:tc>
          <w:tcPr>
            <w:tcW w:w="221" w:type="pct"/>
          </w:tcPr>
          <w:p w:rsidR="00C46071" w:rsidRPr="000A7B59" w:rsidRDefault="00C46071" w:rsidP="0016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pct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46071" w:rsidRPr="00151A2D" w:rsidRDefault="00D65D45" w:rsidP="00151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  <w:r w:rsidR="00C46071" w:rsidRPr="00151A2D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518" w:type="pct"/>
          </w:tcPr>
          <w:p w:rsidR="00C46071" w:rsidRPr="000A7B59" w:rsidRDefault="00C46071" w:rsidP="00E35C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6" w:type="pct"/>
          </w:tcPr>
          <w:p w:rsidR="00C46071" w:rsidRDefault="00C46071" w:rsidP="002B0CDC">
            <w:pPr>
              <w:jc w:val="center"/>
            </w:pPr>
            <w:r w:rsidRPr="004837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0" w:type="pct"/>
          </w:tcPr>
          <w:p w:rsidR="00C46071" w:rsidRDefault="00C46071" w:rsidP="002B0CDC">
            <w:pPr>
              <w:jc w:val="center"/>
            </w:pPr>
            <w:r w:rsidRPr="004837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22C05" w:rsidRDefault="00622C05" w:rsidP="00C46071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FA8" w:rsidRDefault="00957D09" w:rsidP="00C46071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Местные льготы по налогу</w:t>
      </w:r>
      <w:r w:rsidR="00CB0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D09" w:rsidRDefault="00CB07A9" w:rsidP="00C46071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03FA8">
        <w:rPr>
          <w:rFonts w:ascii="Times New Roman" w:hAnsi="Times New Roman" w:cs="Times New Roman"/>
          <w:b/>
          <w:sz w:val="28"/>
          <w:szCs w:val="28"/>
        </w:rPr>
        <w:t>имущество физических лиц</w:t>
      </w:r>
    </w:p>
    <w:p w:rsidR="00903FA8" w:rsidRDefault="00903FA8" w:rsidP="00903FA8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05" w:rsidRPr="004E20F0" w:rsidRDefault="00957D09" w:rsidP="00290FCC">
      <w:pPr>
        <w:tabs>
          <w:tab w:val="left" w:pos="19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Минераловодского городского округа Ставропольского края от 13 ноября 2015 г. № 64 </w:t>
      </w:r>
      <w:r w:rsidR="000C5EF8">
        <w:rPr>
          <w:rFonts w:ascii="Times New Roman" w:hAnsi="Times New Roman" w:cs="Times New Roman"/>
          <w:sz w:val="28"/>
          <w:szCs w:val="28"/>
        </w:rPr>
        <w:t xml:space="preserve">местные налоговые </w:t>
      </w:r>
      <w:r>
        <w:rPr>
          <w:rFonts w:ascii="Times New Roman" w:hAnsi="Times New Roman" w:cs="Times New Roman"/>
          <w:sz w:val="28"/>
          <w:szCs w:val="28"/>
        </w:rPr>
        <w:t>льготы</w:t>
      </w:r>
      <w:r w:rsidR="00903FA8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5EF8">
        <w:rPr>
          <w:rFonts w:ascii="Times New Roman" w:hAnsi="Times New Roman" w:cs="Times New Roman"/>
          <w:sz w:val="28"/>
          <w:szCs w:val="28"/>
        </w:rPr>
        <w:t xml:space="preserve"> Налоговым кодексом РФ </w:t>
      </w:r>
      <w:r w:rsidR="00903FA8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0C5EF8">
        <w:rPr>
          <w:rFonts w:ascii="Times New Roman" w:hAnsi="Times New Roman" w:cs="Times New Roman"/>
          <w:sz w:val="28"/>
          <w:szCs w:val="28"/>
        </w:rPr>
        <w:t>федеральные льготы с определением категорий налогоплательщика, оснований предоставления льготы</w:t>
      </w:r>
      <w:r w:rsidR="00234263">
        <w:rPr>
          <w:rFonts w:ascii="Times New Roman" w:hAnsi="Times New Roman" w:cs="Times New Roman"/>
          <w:sz w:val="28"/>
          <w:szCs w:val="28"/>
        </w:rPr>
        <w:t>, размера и условий предоставления льготы.</w:t>
      </w:r>
      <w:r w:rsidR="000C5E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2C05" w:rsidRPr="004E20F0" w:rsidSect="00310A6B">
      <w:pgSz w:w="11906" w:h="16838" w:code="9"/>
      <w:pgMar w:top="1134" w:right="680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6C" w:rsidRDefault="002D116C" w:rsidP="00BA14D7">
      <w:pPr>
        <w:spacing w:after="0" w:line="240" w:lineRule="auto"/>
      </w:pPr>
      <w:r>
        <w:separator/>
      </w:r>
    </w:p>
  </w:endnote>
  <w:endnote w:type="continuationSeparator" w:id="0">
    <w:p w:rsidR="002D116C" w:rsidRDefault="002D116C" w:rsidP="00BA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6C" w:rsidRDefault="002D116C" w:rsidP="00BA14D7">
      <w:pPr>
        <w:spacing w:after="0" w:line="240" w:lineRule="auto"/>
      </w:pPr>
      <w:r>
        <w:separator/>
      </w:r>
    </w:p>
  </w:footnote>
  <w:footnote w:type="continuationSeparator" w:id="0">
    <w:p w:rsidR="002D116C" w:rsidRDefault="002D116C" w:rsidP="00BA1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72E"/>
    <w:multiLevelType w:val="hybridMultilevel"/>
    <w:tmpl w:val="4B04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923BB"/>
    <w:multiLevelType w:val="hybridMultilevel"/>
    <w:tmpl w:val="A8A8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2F6A"/>
    <w:multiLevelType w:val="multilevel"/>
    <w:tmpl w:val="57C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8"/>
    <w:rsid w:val="000500ED"/>
    <w:rsid w:val="00065FDC"/>
    <w:rsid w:val="00084C5F"/>
    <w:rsid w:val="000A662D"/>
    <w:rsid w:val="000A7B59"/>
    <w:rsid w:val="000C5EF8"/>
    <w:rsid w:val="000F2EC7"/>
    <w:rsid w:val="000F36AA"/>
    <w:rsid w:val="00132060"/>
    <w:rsid w:val="00132748"/>
    <w:rsid w:val="00151A2D"/>
    <w:rsid w:val="00153D05"/>
    <w:rsid w:val="00165695"/>
    <w:rsid w:val="00165BFD"/>
    <w:rsid w:val="0017612A"/>
    <w:rsid w:val="0019689C"/>
    <w:rsid w:val="001A1387"/>
    <w:rsid w:val="001D7EF8"/>
    <w:rsid w:val="00207510"/>
    <w:rsid w:val="00234263"/>
    <w:rsid w:val="002368FE"/>
    <w:rsid w:val="00290FCC"/>
    <w:rsid w:val="00297550"/>
    <w:rsid w:val="002B0CDC"/>
    <w:rsid w:val="002C468C"/>
    <w:rsid w:val="002D116C"/>
    <w:rsid w:val="002D1AAA"/>
    <w:rsid w:val="00310A6B"/>
    <w:rsid w:val="00335616"/>
    <w:rsid w:val="00375BD0"/>
    <w:rsid w:val="003D4818"/>
    <w:rsid w:val="003E2267"/>
    <w:rsid w:val="00400AA5"/>
    <w:rsid w:val="00402A19"/>
    <w:rsid w:val="00406520"/>
    <w:rsid w:val="0041015A"/>
    <w:rsid w:val="00433BD8"/>
    <w:rsid w:val="00436CB1"/>
    <w:rsid w:val="004A5621"/>
    <w:rsid w:val="004B08F6"/>
    <w:rsid w:val="004E20F0"/>
    <w:rsid w:val="004E731D"/>
    <w:rsid w:val="00527888"/>
    <w:rsid w:val="005615B2"/>
    <w:rsid w:val="00565CAA"/>
    <w:rsid w:val="005863F5"/>
    <w:rsid w:val="005B70E0"/>
    <w:rsid w:val="005B7261"/>
    <w:rsid w:val="00622C05"/>
    <w:rsid w:val="00654CCB"/>
    <w:rsid w:val="0067102C"/>
    <w:rsid w:val="006907AE"/>
    <w:rsid w:val="006A0998"/>
    <w:rsid w:val="006A7A36"/>
    <w:rsid w:val="006C5D49"/>
    <w:rsid w:val="00751935"/>
    <w:rsid w:val="00754789"/>
    <w:rsid w:val="00772BA8"/>
    <w:rsid w:val="00816F82"/>
    <w:rsid w:val="00821616"/>
    <w:rsid w:val="0083354D"/>
    <w:rsid w:val="008C37BD"/>
    <w:rsid w:val="00903FA8"/>
    <w:rsid w:val="00945522"/>
    <w:rsid w:val="0094714F"/>
    <w:rsid w:val="00957D09"/>
    <w:rsid w:val="00957FA6"/>
    <w:rsid w:val="00A16907"/>
    <w:rsid w:val="00A37428"/>
    <w:rsid w:val="00A663B2"/>
    <w:rsid w:val="00A67679"/>
    <w:rsid w:val="00AB1764"/>
    <w:rsid w:val="00AF18E4"/>
    <w:rsid w:val="00AF6476"/>
    <w:rsid w:val="00B1754B"/>
    <w:rsid w:val="00B54026"/>
    <w:rsid w:val="00BA14D7"/>
    <w:rsid w:val="00BC058F"/>
    <w:rsid w:val="00BE4500"/>
    <w:rsid w:val="00C46071"/>
    <w:rsid w:val="00C46811"/>
    <w:rsid w:val="00C70973"/>
    <w:rsid w:val="00CB07A9"/>
    <w:rsid w:val="00CB208E"/>
    <w:rsid w:val="00CE010F"/>
    <w:rsid w:val="00D10382"/>
    <w:rsid w:val="00D522B4"/>
    <w:rsid w:val="00D65D45"/>
    <w:rsid w:val="00D8464F"/>
    <w:rsid w:val="00DD2FA3"/>
    <w:rsid w:val="00DD6EB2"/>
    <w:rsid w:val="00DE315C"/>
    <w:rsid w:val="00DF3C6A"/>
    <w:rsid w:val="00E02D58"/>
    <w:rsid w:val="00E350D7"/>
    <w:rsid w:val="00E90FF8"/>
    <w:rsid w:val="00EA2B4C"/>
    <w:rsid w:val="00EB3939"/>
    <w:rsid w:val="00F07847"/>
    <w:rsid w:val="00F33964"/>
    <w:rsid w:val="00F369B8"/>
    <w:rsid w:val="00F71465"/>
    <w:rsid w:val="00FB604A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4D7"/>
  </w:style>
  <w:style w:type="paragraph" w:styleId="a6">
    <w:name w:val="footer"/>
    <w:basedOn w:val="a"/>
    <w:link w:val="a7"/>
    <w:uiPriority w:val="99"/>
    <w:unhideWhenUsed/>
    <w:rsid w:val="00BA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4D7"/>
  </w:style>
  <w:style w:type="paragraph" w:styleId="a8">
    <w:name w:val="Balloon Text"/>
    <w:basedOn w:val="a"/>
    <w:link w:val="a9"/>
    <w:uiPriority w:val="99"/>
    <w:semiHidden/>
    <w:unhideWhenUsed/>
    <w:rsid w:val="00E0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D5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754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D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4D7"/>
  </w:style>
  <w:style w:type="paragraph" w:styleId="a6">
    <w:name w:val="footer"/>
    <w:basedOn w:val="a"/>
    <w:link w:val="a7"/>
    <w:uiPriority w:val="99"/>
    <w:unhideWhenUsed/>
    <w:rsid w:val="00BA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4D7"/>
  </w:style>
  <w:style w:type="paragraph" w:styleId="a8">
    <w:name w:val="Balloon Text"/>
    <w:basedOn w:val="a"/>
    <w:link w:val="a9"/>
    <w:uiPriority w:val="99"/>
    <w:semiHidden/>
    <w:unhideWhenUsed/>
    <w:rsid w:val="00E0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D5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754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D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0A70-156F-4026-A72C-D31BD3BB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Dohod5</dc:creator>
  <cp:lastModifiedBy>Dohod</cp:lastModifiedBy>
  <cp:revision>6</cp:revision>
  <cp:lastPrinted>2020-11-23T11:48:00Z</cp:lastPrinted>
  <dcterms:created xsi:type="dcterms:W3CDTF">2020-11-23T09:11:00Z</dcterms:created>
  <dcterms:modified xsi:type="dcterms:W3CDTF">2020-11-23T11:53:00Z</dcterms:modified>
</cp:coreProperties>
</file>