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 ЗАПИСКА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эффективности налоговых расходов Минераловодского городского округа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2023 год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Минераловодского городского округа Ставропольского края (далее – налоговые расходы) за 2023 год проведена в соответствии с основными положениями постановления Правительства Российской Федерации от 22.06.2019 г. № 796 «Об общих требованиях к оценке налоговых расходов субъектов Российской Федерации и муниципальных образований», постановления администрации Минераловодского муниципального округа от 06.05.2024 № 1048 «Об утверждении Порядка оценки налоговых расходов Минераловодского муниципального округа Ставропольского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решением Совета депутатов Минераловодского муниципального округа Ставропольского края от 21.11.2023 года № 334 внесены изменения в пункт 4 решения Совета депутатов Минераловодского городского округа Ставропольского края от 20.11.2020 года № 18 «О земельном налоге на территории Минераловодского городского округа Ставропольского края» (далее – Решение).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результате внесенных изменений в Решение продлена льгота за налоговый период 2023 года гражданам принимавшим (принимающим) участие в специальной военной операции либо их супругам.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осуществлена в соответствии с Перечнем налоговых расходов Минераловодского городского округа Ставропольского края на 2023 год и плановый период 2024 и 2025 годов, утвержденным приказом финансового управления администрации Минераловодского городского округа Ставропольского края от 10.04.2023 г.   № 39, и на основании информации налогового органа о фискальных характеристиках налоговых расходов за 2023 год.</w:t>
      </w:r>
      <w:proofErr w:type="gramEnd"/>
    </w:p>
    <w:p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проведения оценки эффективности налоговых расходов является</w:t>
      </w:r>
      <w:r>
        <w:rPr>
          <w:rFonts w:ascii="Times New Roman" w:hAnsi="Times New Roman"/>
          <w:sz w:val="28"/>
          <w:szCs w:val="28"/>
        </w:rPr>
        <w:t xml:space="preserve"> повышение прозрачности бюджетной и налоговой политики Минераловодского муниципального округа Ставропольского края,  выявление неэффективных налоговых расходов, выработка рекомендаций о сохранении или об отмене налоговых расходов.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Объем фактических налоговых расходов по земельному налогу в 2023 году составил 271 тыс. рублей.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Целью предоставления социальных налоговых расходов является обеспечение дополнительных мер социальной поддержки отдельных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категорий граждан,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постоянно проживающих на территории Минераловодского муниципального округа Ставропольского края: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-вдов ветеранов ВОВ, вдов ветеранов боевых действий;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-тружеников тыла;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-супруги (супруга) погибшего военнослужащего при исполнении обязанностей военной службы (служебных обязанностей), не вступившей (не вступившего) в повторный брак;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-родителей (усыновителей) погибшего военнослужащего при исполнении обязанностей военной службы (служебных обязанностей);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-пенсионеров в отношении одного земельного участка для хранения автотранспорта;</w:t>
      </w:r>
    </w:p>
    <w:p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>граждан, проходящих (проходивших) военную службу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служба, лиц, проходящих (проходивших) службу в войсках национальной гвардии Российской Федерации и имеющих (имевших) специальное звание полиции, принимающих (принимавших) участие в специальной военной операции, проводимой на территориях Украины, Донецкой Народной Республики и Луганской Народной Республики с 24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февраля 2022 года, а также на территориях Запорожской области и Херсонской области с 30 сентября 2022 года (далее – специальная военная операция), либо их супругу (супруга);</w:t>
      </w:r>
    </w:p>
    <w:p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-граждан,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и участвующих (участвовавших) в специальной военной операции, либо их супругу (супруга);</w:t>
      </w:r>
    </w:p>
    <w:p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-граждан,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   2022 г. № 647 «Об объявлении частичной мобилизации в Российской Федерации», либо их супругу (супруга);</w:t>
      </w:r>
    </w:p>
    <w:p>
      <w:pPr>
        <w:pStyle w:val="ConsPlusTit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-граждан, заключивших контракт (контракты) об участии в специальной военной операции общей продолжительностью не менее 6 месяцев и направленные военным комиссариатом Ставропольского края для участия в специальной военной операции, либо их супругу (супруга).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Востребованность социальных налоговых расходов характеризуется соотношением численности плательщиков, воспользовавшихся правом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льготы, с численностью плательщиков, имеющих право на получение данных налоговых льгот.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Динамика показателей за период 2019-2023 гг. представлена в таблице: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7"/>
        <w:gridCol w:w="1382"/>
        <w:gridCol w:w="1418"/>
        <w:gridCol w:w="1275"/>
        <w:gridCol w:w="1134"/>
        <w:gridCol w:w="1418"/>
      </w:tblGrid>
      <w:tr>
        <w:tc>
          <w:tcPr>
            <w:tcW w:w="283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38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>
        <w:tc>
          <w:tcPr>
            <w:tcW w:w="2837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138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</w:tr>
      <w:tr>
        <w:tc>
          <w:tcPr>
            <w:tcW w:w="2837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плательщиков, имеющих право на получение налоговых льгот, чел.</w:t>
            </w:r>
          </w:p>
        </w:tc>
        <w:tc>
          <w:tcPr>
            <w:tcW w:w="138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1364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c>
          <w:tcPr>
            <w:tcW w:w="2837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Востребованность, %</w:t>
            </w:r>
          </w:p>
        </w:tc>
        <w:tc>
          <w:tcPr>
            <w:tcW w:w="138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61,05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46,63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44,66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Критерием результативности социального налогового расхода в соответствии с целями муниципальной программы Минераловодского городского округа «Социальная политика», утвержденной постановлением администрации Минераловодского городского округа от 19.11.2019 №2515 (далее – муниципальная программа), является показатель, отражающий долю объема земельного налога с физических лиц, не поступившего в местный бюджет в связи с предоставлением налоговых льгот, к общему объему земельного налога, поступившего в местный бюджет от физических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2023 году составил (271 /67733,8*100)= 0,40 %.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Причинами не достижения плановых показателей индикатора муниципальной программы являются: заявительный характер льгот, получение участниками специальной военной операции статуса ветерана боевых действий и получение льготы в соответствии с федеральным законодательством.                                                                                                                                                                                        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предоставлении налоговых льгот по земельному налогу отдельным категориям социально незащищенных групп населения альтернативные механизмы достижения целей отсутствуют. Эффективность социальных налоговых расходов определяется социальной значимостью.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Вывод: </w:t>
      </w:r>
      <w:r>
        <w:rPr>
          <w:rFonts w:ascii="Times New Roman" w:hAnsi="Times New Roman" w:cs="Times New Roman"/>
          <w:sz w:val="28"/>
          <w:szCs w:val="28"/>
        </w:rPr>
        <w:t xml:space="preserve">социальные налоговые расходы направлены на поддержку социально незащищенных групп населения, отвечают общественным интересам, способствуют решению социальных задач и снижению </w:t>
      </w:r>
      <w:r>
        <w:rPr>
          <w:rFonts w:ascii="Times New Roman" w:hAnsi="Times New Roman" w:cs="Times New Roman"/>
          <w:sz w:val="28"/>
          <w:szCs w:val="28"/>
        </w:rPr>
        <w:t xml:space="preserve">налогового бремени, нуждающихся в социальной поддержке отдельных категорий </w:t>
      </w:r>
      <w:r>
        <w:rPr>
          <w:rFonts w:ascii="Times New Roman" w:hAnsi="Times New Roman" w:cs="Times New Roman"/>
          <w:sz w:val="28"/>
          <w:szCs w:val="28"/>
        </w:rPr>
        <w:t>граждан, являются востребованными, целесообразными.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Таким образом, налоговые расходы в 2023 году признаны эффективными и не требующими отмены.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125058"/>
      <w:docPartObj>
        <w:docPartGallery w:val="Page Numbers (Top of Page)"/>
        <w:docPartUnique/>
      </w:docPartObj>
    </w:sdtPr>
    <w:sdtContent>
      <w:p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563D0"/>
    <w:multiLevelType w:val="hybridMultilevel"/>
    <w:tmpl w:val="D4182C3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F6CE6-D19F-4BEF-A3DA-F34F39DBB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3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Dohod3</dc:creator>
  <cp:keywords/>
  <dc:description/>
  <cp:lastModifiedBy>Dohod3</cp:lastModifiedBy>
  <cp:revision>58</cp:revision>
  <cp:lastPrinted>2023-08-07T09:59:00Z</cp:lastPrinted>
  <dcterms:created xsi:type="dcterms:W3CDTF">2020-07-15T09:27:00Z</dcterms:created>
  <dcterms:modified xsi:type="dcterms:W3CDTF">2024-07-26T06:37:00Z</dcterms:modified>
</cp:coreProperties>
</file>