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5" w:rsidRDefault="00FC7D75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3E02CF" w:rsidRPr="00FC7D75" w:rsidRDefault="003E02CF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за 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202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год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а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209-ФЗ «О развитии малого и среднего предпринимательства в Российской Федерации</w:t>
      </w:r>
      <w:proofErr w:type="gramStart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»</w:t>
      </w:r>
      <w:proofErr w:type="gramEnd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3E02CF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ого округа в рамках поддержки малого и среднего предпринимательства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 w:rsidR="0078640E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Минераловодском </w:t>
      </w:r>
      <w:r w:rsidR="003E02CF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 округе Ставропольского края </w:t>
      </w:r>
      <w:r w:rsidR="00270889" w:rsidRPr="00D904CE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утверждена и реализуется подпрограмма «Развитие субъектов малого и среднего предпринимательства» муниципальной программы «Развитие экономики», 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 w:rsidR="00270889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 w:rsidR="00270889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="00270889" w:rsidRPr="00D904CE">
        <w:rPr>
          <w:rFonts w:ascii="Times New Roman" w:hAnsi="Times New Roman" w:cs="Times New Roman"/>
          <w:sz w:val="28"/>
          <w:szCs w:val="28"/>
        </w:rPr>
        <w:t>31.10.2019 № 2342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.  В </w:t>
      </w:r>
      <w:r w:rsidR="0078640E" w:rsidRPr="00D904CE">
        <w:rPr>
          <w:rFonts w:ascii="Times New Roman" w:hAnsi="Times New Roman" w:cs="Times New Roman"/>
          <w:sz w:val="28"/>
          <w:szCs w:val="28"/>
        </w:rPr>
        <w:t xml:space="preserve">рамках данной подпрограммы в </w:t>
      </w:r>
      <w:r w:rsidR="00F62DD5" w:rsidRPr="00D904CE">
        <w:rPr>
          <w:rFonts w:ascii="Times New Roman" w:hAnsi="Times New Roman" w:cs="Times New Roman"/>
          <w:sz w:val="28"/>
          <w:szCs w:val="28"/>
        </w:rPr>
        <w:t>202</w:t>
      </w:r>
      <w:r w:rsidR="00D904CE" w:rsidRPr="00D904CE">
        <w:rPr>
          <w:rFonts w:ascii="Times New Roman" w:hAnsi="Times New Roman" w:cs="Times New Roman"/>
          <w:sz w:val="28"/>
          <w:szCs w:val="28"/>
        </w:rPr>
        <w:t>4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037A" w:rsidRPr="00D904CE">
        <w:rPr>
          <w:rFonts w:ascii="Times New Roman" w:hAnsi="Times New Roman" w:cs="Times New Roman"/>
          <w:sz w:val="28"/>
          <w:szCs w:val="28"/>
        </w:rPr>
        <w:t>администрацией М</w:t>
      </w:r>
      <w:r w:rsidR="003E02CF" w:rsidRPr="00D904CE">
        <w:rPr>
          <w:rFonts w:ascii="Times New Roman" w:hAnsi="Times New Roman" w:cs="Times New Roman"/>
          <w:sz w:val="28"/>
          <w:szCs w:val="28"/>
        </w:rPr>
        <w:t>М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О </w:t>
      </w:r>
      <w:r w:rsidR="00D904CE" w:rsidRPr="00D904CE">
        <w:rPr>
          <w:rFonts w:ascii="Times New Roman" w:hAnsi="Times New Roman" w:cs="Times New Roman"/>
          <w:sz w:val="28"/>
          <w:szCs w:val="28"/>
        </w:rPr>
        <w:t>планируется орг</w:t>
      </w:r>
      <w:r w:rsidR="00C91C29" w:rsidRPr="00D904CE">
        <w:rPr>
          <w:rFonts w:ascii="Times New Roman" w:hAnsi="Times New Roman" w:cs="Times New Roman"/>
          <w:sz w:val="28"/>
          <w:szCs w:val="28"/>
        </w:rPr>
        <w:t>аниз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ация </w:t>
      </w:r>
      <w:r w:rsidR="00C91C29" w:rsidRPr="00D904CE">
        <w:rPr>
          <w:rFonts w:ascii="Times New Roman" w:hAnsi="Times New Roman" w:cs="Times New Roman"/>
          <w:sz w:val="28"/>
          <w:szCs w:val="28"/>
        </w:rPr>
        <w:t>и проведен</w:t>
      </w:r>
      <w:r w:rsidR="00D904CE" w:rsidRPr="00D904CE">
        <w:rPr>
          <w:rFonts w:ascii="Times New Roman" w:hAnsi="Times New Roman" w:cs="Times New Roman"/>
          <w:sz w:val="28"/>
          <w:szCs w:val="28"/>
        </w:rPr>
        <w:t>ие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</w:t>
      </w:r>
      <w:r w:rsidR="0025037A" w:rsidRPr="00D904CE">
        <w:rPr>
          <w:rFonts w:ascii="Times New Roman" w:hAnsi="Times New Roman" w:cs="Times New Roman"/>
          <w:sz w:val="28"/>
          <w:szCs w:val="28"/>
        </w:rPr>
        <w:t>следующи</w:t>
      </w:r>
      <w:r w:rsidR="00D904CE" w:rsidRPr="00D904CE">
        <w:rPr>
          <w:rFonts w:ascii="Times New Roman" w:hAnsi="Times New Roman" w:cs="Times New Roman"/>
          <w:sz w:val="28"/>
          <w:szCs w:val="28"/>
        </w:rPr>
        <w:t>х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904CE" w:rsidRPr="00D904CE">
        <w:rPr>
          <w:rFonts w:ascii="Times New Roman" w:hAnsi="Times New Roman" w:cs="Times New Roman"/>
          <w:sz w:val="28"/>
          <w:szCs w:val="28"/>
        </w:rPr>
        <w:t>й</w:t>
      </w:r>
      <w:r w:rsidR="0025037A" w:rsidRPr="00D904CE">
        <w:rPr>
          <w:rFonts w:ascii="Times New Roman" w:hAnsi="Times New Roman" w:cs="Times New Roman"/>
          <w:sz w:val="28"/>
          <w:szCs w:val="28"/>
        </w:rPr>
        <w:t>: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конкурс «Предприниматель года» в рамках празднования </w:t>
      </w:r>
      <w:r w:rsidR="00F62DD5" w:rsidRPr="00D904CE">
        <w:rPr>
          <w:rFonts w:ascii="Times New Roman" w:hAnsi="Times New Roman" w:cs="Times New Roman"/>
          <w:sz w:val="28"/>
          <w:szCs w:val="28"/>
        </w:rPr>
        <w:t>«Дня российского предпринимательства»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, </w:t>
      </w:r>
      <w:r w:rsidR="0078640E" w:rsidRPr="00D904CE">
        <w:rPr>
          <w:rFonts w:ascii="Times New Roman" w:hAnsi="Times New Roman" w:cs="Times New Roman"/>
          <w:sz w:val="28"/>
          <w:szCs w:val="28"/>
        </w:rPr>
        <w:t>обучающие семинары, круглые столы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, </w:t>
      </w:r>
      <w:r w:rsidR="00D904CE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конкурсного отбора субъектов малого и среднего предпринимательства 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для </w:t>
      </w:r>
      <w:r w:rsidR="00D904CE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за счет средств бюджета Минераловодского муниципального округа </w:t>
      </w:r>
      <w:r w:rsid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СК. </w:t>
      </w:r>
      <w:r w:rsidR="00D904CE">
        <w:rPr>
          <w:rFonts w:ascii="Times New Roman" w:hAnsi="Times New Roman" w:cs="Times New Roman"/>
          <w:sz w:val="28"/>
          <w:szCs w:val="28"/>
        </w:rPr>
        <w:t>Р</w:t>
      </w:r>
      <w:r w:rsidR="0078640E">
        <w:rPr>
          <w:rFonts w:ascii="Times New Roman" w:hAnsi="Times New Roman" w:cs="Times New Roman"/>
          <w:sz w:val="28"/>
          <w:szCs w:val="28"/>
        </w:rPr>
        <w:t>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 состоянию на 1</w:t>
      </w:r>
      <w:r w:rsidR="00C450F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апрел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осуществляют деятельность: 1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средних предприятий, 9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ое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предприяти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7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86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403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ей</w:t>
      </w:r>
      <w:r w:rsidR="00510EFD">
        <w:rPr>
          <w:rFonts w:ascii="Times New Roman" w:hAnsi="Times New Roman"/>
          <w:sz w:val="28"/>
          <w:szCs w:val="28"/>
        </w:rPr>
        <w:t>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7F6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10 апрел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3E02CF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Минераловодского 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р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6" w:history="1"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8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роизводство 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lastRenderedPageBreak/>
          <w:t>текстильных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D36C74" w:rsidRPr="00D36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пр.) – 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36C74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5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6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– 1</w:t>
      </w:r>
      <w:r w:rsidR="00D36C74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933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7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D36C74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824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1</w:t>
      </w:r>
      <w:r w:rsidR="00D36C74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кого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за 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1 квартал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оценочным данным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6E1CC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тыс.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7636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сельское хозяйство (ОКВЭД: </w:t>
      </w:r>
      <w:hyperlink r:id="rId33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97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торговля (ОКВЭД: </w:t>
      </w:r>
      <w:hyperlink r:id="rId34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3</w:t>
      </w:r>
      <w:r w:rsidR="00297636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337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услуги (ОКВЭД: </w:t>
      </w:r>
      <w:hyperlink r:id="rId35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еятельность по </w:t>
        </w:r>
        <w:r w:rsidR="006E1CC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редоставлению финансовых услуг, кроме услуг по страхованию и пенсионному обеспечению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 w:rsidR="00297636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338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прочие виды деятельности -  29</w:t>
      </w:r>
      <w:r w:rsidR="00297636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lastRenderedPageBreak/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</w:t>
      </w:r>
      <w:r w:rsidR="00D56CB4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ого округа за 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 всем видам деятельности по предварительным данным 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составил </w:t>
      </w:r>
      <w:r w:rsidR="00297636"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8060432,3</w:t>
      </w:r>
      <w:r w:rsidR="00041F49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1</w:t>
      </w:r>
      <w:r w:rsidR="00FD482C"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тыс. рублей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. В соответствии с их классификацией по видам экономической деятельности: </w:t>
      </w:r>
      <w:r w:rsidRPr="0029763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2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4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41F49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991433,19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1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41F49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822164,09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52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41F49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2643821,8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3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9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41F49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1088158,37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9B33B1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9144926,77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4521D0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5. О финансово-экономическом состоянии субъектов малого и среднего предпринимательства</w:t>
      </w:r>
    </w:p>
    <w:p w:rsidR="00FC7D75" w:rsidRPr="00E10AAB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банков, страховых организаций и бюджетных учреждений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 за период январь-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март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в действующих ценах сложился положительный в общей сумме </w:t>
      </w:r>
      <w:r w:rsid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1381,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млн. рублей (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темп роста к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аналогичному 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уровню 202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– 1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27</w:t>
      </w:r>
      <w:r w:rsidR="00FE090A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,1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).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При этом общая сумма полученной предприятиями прибыли составила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1501,3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рублей. Доля прибыльных предприятий и организаций составляет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56,7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%.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Общая сумма полученных предприятиями убытков </w:t>
      </w:r>
      <w:r w:rsidR="008112F8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предварительным данным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составила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120,0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</w:t>
      </w:r>
      <w:r w:rsidR="00041F49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041F49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10AAB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43,3</w:t>
      </w:r>
      <w:r w:rsidR="00E40362"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 субъектов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60" w:history="1">
        <w:proofErr w:type="gramStart"/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  <w:proofErr w:type="gramEnd"/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 xml:space="preserve">Информация о результатах взаимодействия субъектов малого и среднего предпринимательства Минераловодского 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с организациями, образующими инфраструктуру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FE090A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63121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63121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B65A09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FE090A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B65A09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B65A09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НОМК «Фонд микрофинансирования субъектов МСП в СК»</w:t>
            </w:r>
          </w:p>
        </w:tc>
        <w:tc>
          <w:tcPr>
            <w:tcW w:w="1843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FE090A" w:rsidTr="001F2876">
        <w:tc>
          <w:tcPr>
            <w:tcW w:w="2836" w:type="dxa"/>
          </w:tcPr>
          <w:p w:rsidR="00FE090A" w:rsidRPr="009E0014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9E0014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FE090A" w:rsidRPr="009E0014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9E00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3121E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1916" w:type="dxa"/>
          </w:tcPr>
          <w:p w:rsidR="00FE090A" w:rsidRPr="007303BB" w:rsidRDefault="009E001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68" w:type="dxa"/>
          </w:tcPr>
          <w:p w:rsidR="00FE090A" w:rsidRPr="007303BB" w:rsidRDefault="009E001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54,5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916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FE090A" w:rsidRPr="007303BB" w:rsidRDefault="00156DF4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Комитет СК по пищевой и перерабатывающей промышленности, торговле и лицензированию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(министерство экономического развития СК)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916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Данные уточняются</w:t>
            </w:r>
          </w:p>
        </w:tc>
        <w:tc>
          <w:tcPr>
            <w:tcW w:w="1868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Данные уточняются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16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 предприятия</w:t>
            </w:r>
          </w:p>
        </w:tc>
        <w:tc>
          <w:tcPr>
            <w:tcW w:w="3784" w:type="dxa"/>
            <w:gridSpan w:val="2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В отчетном периоде было подано 2 заявки</w:t>
            </w:r>
          </w:p>
        </w:tc>
      </w:tr>
    </w:tbl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712DF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 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</w:p>
    <w:p w:rsidR="000A46F8" w:rsidRPr="000A46F8" w:rsidRDefault="00FE5179" w:rsidP="0071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Минераловодского </w:t>
      </w:r>
      <w:r w:rsidR="00712DF9">
        <w:rPr>
          <w:rFonts w:ascii="Times New Roman" w:hAnsi="Times New Roman" w:cs="Times New Roman"/>
          <w:sz w:val="28"/>
          <w:szCs w:val="28"/>
        </w:rPr>
        <w:t>муниципальн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E35C13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46F8" w:rsidRPr="00DB7AC6">
        <w:rPr>
          <w:rFonts w:ascii="Times New Roman" w:hAnsi="Times New Roman" w:cs="Times New Roman"/>
          <w:sz w:val="28"/>
          <w:szCs w:val="28"/>
        </w:rPr>
        <w:t>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="000A46F8"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="000A46F8"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="000A46F8"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 числе </w:t>
      </w:r>
      <w:r w:rsidR="000A46F8"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="000A46F8"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6F8" w:rsidRDefault="00E35C13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46F8" w:rsidRPr="00DB7AC6">
        <w:rPr>
          <w:rFonts w:ascii="Times New Roman" w:hAnsi="Times New Roman" w:cs="Times New Roman"/>
          <w:sz w:val="28"/>
          <w:szCs w:val="28"/>
        </w:rPr>
        <w:t>остановление администрации Минераловодского городского округа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712DF9">
        <w:rPr>
          <w:rFonts w:ascii="Times New Roman" w:hAnsi="Times New Roman" w:cs="Times New Roman"/>
          <w:sz w:val="28"/>
          <w:szCs w:val="28"/>
        </w:rPr>
        <w:t xml:space="preserve">от 27.06.2023 № 1457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="000A46F8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="000A46F8" w:rsidRPr="00DB7AC6">
        <w:rPr>
          <w:rFonts w:ascii="Times New Roman" w:hAnsi="Times New Roman" w:cs="Times New Roman"/>
          <w:sz w:val="28"/>
          <w:szCs w:val="28"/>
        </w:rPr>
        <w:t>а,</w:t>
      </w:r>
      <w:r w:rsidR="00712D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71E" w:rsidRPr="00C42EED" w:rsidRDefault="003E471E" w:rsidP="00896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 202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реализацию подпрограммы «Развитие субъектов малого и среднего предпринимательства» муниципальной программы «Развитие экономики», было предусмотрено </w:t>
      </w:r>
      <w:r w:rsidRPr="00C42EED">
        <w:rPr>
          <w:rFonts w:ascii="Times New Roman" w:hAnsi="Times New Roman" w:cs="Times New Roman"/>
          <w:sz w:val="28"/>
          <w:szCs w:val="28"/>
        </w:rPr>
        <w:t>финансирование на предоставление субсидии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FD482C" w:rsidRPr="00FD482C">
        <w:rPr>
          <w:rFonts w:ascii="Times New Roman" w:hAnsi="Times New Roman" w:cs="Times New Roman"/>
          <w:sz w:val="28"/>
          <w:szCs w:val="28"/>
        </w:rPr>
        <w:t>(гранты в форме субсидий)</w:t>
      </w:r>
      <w:r w:rsidRPr="00C42EED">
        <w:rPr>
          <w:rFonts w:ascii="Times New Roman" w:hAnsi="Times New Roman" w:cs="Times New Roman"/>
          <w:sz w:val="28"/>
          <w:szCs w:val="28"/>
        </w:rPr>
        <w:t xml:space="preserve"> субъектам МСП – </w:t>
      </w:r>
      <w:r w:rsidR="00FD482C"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>00 тыс. руб.</w:t>
      </w:r>
      <w:r w:rsidR="00E40362" w:rsidRPr="00C4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2C" w:rsidRPr="00FD482C" w:rsidRDefault="00FD482C" w:rsidP="00896566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82C">
        <w:rPr>
          <w:rFonts w:ascii="Times New Roman" w:hAnsi="Times New Roman" w:cs="Times New Roman"/>
          <w:sz w:val="28"/>
          <w:szCs w:val="28"/>
        </w:rPr>
        <w:t>Объявление о проведении конкурсного отбора субъектов малого и среднего предпринимательства для предоставления гранта за счет средств бюджета Минераловодского муниципального округа Ставропольского края</w:t>
      </w:r>
      <w:r w:rsidR="00B2577A"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администрации 29.03.2024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</w:t>
      </w:r>
      <w:r w:rsidR="00B2577A" w:rsidRPr="00C42EED">
        <w:rPr>
          <w:rFonts w:ascii="Times New Roman" w:hAnsi="Times New Roman" w:cs="Times New Roman"/>
          <w:sz w:val="28"/>
          <w:szCs w:val="28"/>
        </w:rPr>
        <w:t>в разделе «объявления» и «малое и среднее предпринимательство» и через интернет ресурсы</w:t>
      </w:r>
      <w:r w:rsidR="00B2577A">
        <w:rPr>
          <w:rFonts w:ascii="Times New Roman" w:hAnsi="Times New Roman" w:cs="Times New Roman"/>
          <w:sz w:val="28"/>
          <w:szCs w:val="28"/>
        </w:rPr>
        <w:t>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B2577A" w:rsidRPr="00B2577A" w:rsidRDefault="00B2577A" w:rsidP="00B2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2577A">
        <w:rPr>
          <w:rFonts w:ascii="Times New Roman" w:hAnsi="Times New Roman" w:cs="Times New Roman"/>
          <w:color w:val="000000"/>
          <w:sz w:val="28"/>
          <w:szCs w:val="28"/>
        </w:rPr>
        <w:t xml:space="preserve">а первый квартал </w:t>
      </w:r>
      <w:r w:rsidRPr="00B2577A">
        <w:rPr>
          <w:rFonts w:ascii="Times New Roman" w:hAnsi="Times New Roman" w:cs="Times New Roman"/>
          <w:sz w:val="28"/>
          <w:szCs w:val="28"/>
        </w:rPr>
        <w:t>2024 года проведено, одно расширенное заседание координационного Совета по развитию малого и среднего предпринимательства при администрации Минераловодского муниципального округа Ставропольского края, на котором рассмотрены следующие вопросы:</w:t>
      </w:r>
    </w:p>
    <w:p w:rsidR="00B2577A" w:rsidRPr="00B2577A" w:rsidRDefault="009E0014" w:rsidP="00B257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bookmarkStart w:id="0" w:name="_GoBack"/>
      <w:bookmarkEnd w:id="0"/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мерах поддержки, оказываемых: 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компании «Фонд микрофинансирования субъектов малого и среднего предпринимательства в Ставропольском крае»,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«Фонд развития пищевой и перерабатывающей промышленности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субъектам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2577A" w:rsidRPr="00B2577A" w:rsidRDefault="00B2577A" w:rsidP="00B2577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</w:t>
      </w:r>
      <w:r w:rsidRPr="00B2577A">
        <w:rPr>
          <w:rFonts w:ascii="Times New Roman" w:hAnsi="Times New Roman" w:cs="Times New Roman"/>
          <w:sz w:val="28"/>
          <w:szCs w:val="28"/>
        </w:rPr>
        <w:t>б утверждении Плана мероприятий по устранению выявленных причин и развитию сферы малого и среднего предпринимательства на территории Минераловодского муниципального округа на 2024 год.</w:t>
      </w:r>
    </w:p>
    <w:p w:rsidR="00B2577A" w:rsidRPr="00B2577A" w:rsidRDefault="00B2577A" w:rsidP="00B2577A">
      <w:pPr>
        <w:widowControl w:val="0"/>
        <w:tabs>
          <w:tab w:val="left" w:pos="1054"/>
        </w:tabs>
        <w:spacing w:after="0" w:line="240" w:lineRule="auto"/>
        <w:ind w:right="56" w:firstLine="771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2577A"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Представители бизнеса Минераловодского округа приняли участие 20.02.2024 в круглом столе </w:t>
      </w:r>
      <w:r w:rsidRPr="00B257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теме «Обязательная маркировка продукции и оптимизация бизнес-процессов», </w:t>
      </w:r>
      <w:r w:rsidRPr="00B25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05.03.2024 </w:t>
      </w:r>
      <w:r w:rsidRPr="00B2577A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Pr="00B25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круглом столе для </w:t>
      </w:r>
      <w:proofErr w:type="spellStart"/>
      <w:r w:rsidRPr="00B2577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B25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«</w:t>
      </w:r>
      <w:proofErr w:type="spellStart"/>
      <w:r w:rsidRPr="00B2577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Самозанятость</w:t>
      </w:r>
      <w:proofErr w:type="spellEnd"/>
      <w:r w:rsidRPr="00B2577A">
        <w:rPr>
          <w:rFonts w:ascii="Times New Roman" w:hAnsi="Times New Roman" w:cs="Times New Roman"/>
          <w:sz w:val="28"/>
          <w:szCs w:val="28"/>
          <w:shd w:val="clear" w:color="auto" w:fill="FFFFFF"/>
        </w:rPr>
        <w:t>: новые возможности».</w:t>
      </w:r>
    </w:p>
    <w:p w:rsidR="00B2577A" w:rsidRPr="00B2577A" w:rsidRDefault="00B2577A" w:rsidP="00B2577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7A">
        <w:rPr>
          <w:rFonts w:ascii="Times New Roman" w:hAnsi="Times New Roman" w:cs="Times New Roman"/>
          <w:sz w:val="28"/>
          <w:szCs w:val="28"/>
        </w:rPr>
        <w:t xml:space="preserve"> Предпринимателям Минераловодского муниципального округа Ставропольского края постоянно оказывается консультативная и методическая помощь по вопросам государственной поддержки субъектов малого и среднего предпринимательства. В текущем году вышеуказанная поддержка оказана 15 представителям бизнеса, сведения о которых внесены в Единый реестр субъектов малого и среднего предпринимательства – получателей поддержки и 1 </w:t>
      </w:r>
      <w:proofErr w:type="spellStart"/>
      <w:r w:rsidRPr="00B2577A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Pr="00B2577A">
        <w:rPr>
          <w:rFonts w:ascii="Times New Roman" w:hAnsi="Times New Roman" w:cs="Times New Roman"/>
          <w:sz w:val="28"/>
          <w:szCs w:val="28"/>
        </w:rPr>
        <w:t xml:space="preserve"> гражданину.</w:t>
      </w:r>
    </w:p>
    <w:p w:rsidR="00DA3FEC" w:rsidRDefault="00DA3FEC" w:rsidP="00896566">
      <w:pPr>
        <w:widowControl w:val="0"/>
        <w:suppressAutoHyphens/>
        <w:spacing w:after="0" w:line="240" w:lineRule="auto"/>
        <w:ind w:right="56" w:firstLine="771"/>
        <w:jc w:val="both"/>
        <w:rPr>
          <w:rFonts w:ascii="Times New Roman" w:hAnsi="Times New Roman"/>
          <w:sz w:val="28"/>
        </w:rPr>
      </w:pPr>
      <w:r w:rsidRPr="00A72F7B">
        <w:rPr>
          <w:rFonts w:ascii="Times New Roman" w:hAnsi="Times New Roman"/>
          <w:sz w:val="28"/>
        </w:rPr>
        <w:t xml:space="preserve">Регулярно обновлялась информация на официальном сайте Минераловодского </w:t>
      </w:r>
      <w:r w:rsidR="00C42EED">
        <w:rPr>
          <w:rFonts w:ascii="Times New Roman" w:hAnsi="Times New Roman"/>
          <w:sz w:val="28"/>
        </w:rPr>
        <w:t>муниципальн</w:t>
      </w:r>
      <w:r w:rsidRPr="00A72F7B">
        <w:rPr>
          <w:rFonts w:ascii="Times New Roman" w:hAnsi="Times New Roman"/>
          <w:sz w:val="28"/>
        </w:rPr>
        <w:t>ого округа в информационно-телекоммуникационной сети «Интернет» подрубриках «Малое и среднее предпринимательство», «Развитие конкуренции» и «Инвестиционная политика»</w:t>
      </w:r>
      <w:r>
        <w:rPr>
          <w:rFonts w:ascii="Times New Roman" w:hAnsi="Times New Roman"/>
          <w:sz w:val="28"/>
        </w:rPr>
        <w:t xml:space="preserve">, 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с дублированием информации в социальных сетях («</w:t>
      </w:r>
      <w:proofErr w:type="spellStart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»,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), а также на личной странице главы Минераловодского </w:t>
      </w:r>
      <w:r w:rsidR="00C42EED">
        <w:rPr>
          <w:rFonts w:ascii="Times New Roman" w:hAnsi="Times New Roman"/>
          <w:color w:val="000000"/>
          <w:sz w:val="28"/>
          <w:szCs w:val="28"/>
          <w:lang w:bidi="ru-RU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 округа</w:t>
      </w:r>
      <w:r w:rsidRPr="00A72F7B">
        <w:rPr>
          <w:rFonts w:ascii="Times New Roman" w:hAnsi="Times New Roman"/>
          <w:sz w:val="28"/>
        </w:rPr>
        <w:t xml:space="preserve">. </w:t>
      </w:r>
    </w:p>
    <w:p w:rsidR="005720EE" w:rsidRPr="00FC7D75" w:rsidRDefault="005720EE" w:rsidP="008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0EE" w:rsidRPr="00FC7D75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75"/>
    <w:rsid w:val="00011508"/>
    <w:rsid w:val="00041F49"/>
    <w:rsid w:val="00055AA2"/>
    <w:rsid w:val="00080801"/>
    <w:rsid w:val="0008123B"/>
    <w:rsid w:val="000A4232"/>
    <w:rsid w:val="000A46F8"/>
    <w:rsid w:val="000E03D9"/>
    <w:rsid w:val="00156DF4"/>
    <w:rsid w:val="001F2876"/>
    <w:rsid w:val="0025037A"/>
    <w:rsid w:val="00270889"/>
    <w:rsid w:val="00297636"/>
    <w:rsid w:val="002A0C4C"/>
    <w:rsid w:val="002E6391"/>
    <w:rsid w:val="00303BFC"/>
    <w:rsid w:val="00311774"/>
    <w:rsid w:val="003163A9"/>
    <w:rsid w:val="003463AA"/>
    <w:rsid w:val="00363679"/>
    <w:rsid w:val="00382D60"/>
    <w:rsid w:val="003B27F6"/>
    <w:rsid w:val="003B557F"/>
    <w:rsid w:val="003E02CF"/>
    <w:rsid w:val="003E471E"/>
    <w:rsid w:val="003E6C7B"/>
    <w:rsid w:val="004521D0"/>
    <w:rsid w:val="004903BC"/>
    <w:rsid w:val="004E2856"/>
    <w:rsid w:val="00510EFD"/>
    <w:rsid w:val="005720EE"/>
    <w:rsid w:val="005900F1"/>
    <w:rsid w:val="005D6B97"/>
    <w:rsid w:val="0063121E"/>
    <w:rsid w:val="006D5B75"/>
    <w:rsid w:val="006E1CC8"/>
    <w:rsid w:val="00712DF9"/>
    <w:rsid w:val="007303BB"/>
    <w:rsid w:val="00764AF2"/>
    <w:rsid w:val="00772861"/>
    <w:rsid w:val="0078640E"/>
    <w:rsid w:val="007E0A3A"/>
    <w:rsid w:val="007E2DCE"/>
    <w:rsid w:val="008112F8"/>
    <w:rsid w:val="008625FA"/>
    <w:rsid w:val="00896566"/>
    <w:rsid w:val="008F2ED9"/>
    <w:rsid w:val="00904F1F"/>
    <w:rsid w:val="00950081"/>
    <w:rsid w:val="00963319"/>
    <w:rsid w:val="00973DD6"/>
    <w:rsid w:val="009A62FC"/>
    <w:rsid w:val="009B33B1"/>
    <w:rsid w:val="009B63B7"/>
    <w:rsid w:val="009E0014"/>
    <w:rsid w:val="00AB5A25"/>
    <w:rsid w:val="00B2577A"/>
    <w:rsid w:val="00B463BC"/>
    <w:rsid w:val="00B55C5B"/>
    <w:rsid w:val="00B65A09"/>
    <w:rsid w:val="00B849C8"/>
    <w:rsid w:val="00B84D36"/>
    <w:rsid w:val="00BB2690"/>
    <w:rsid w:val="00C16CBB"/>
    <w:rsid w:val="00C30285"/>
    <w:rsid w:val="00C36B53"/>
    <w:rsid w:val="00C42EED"/>
    <w:rsid w:val="00C450F0"/>
    <w:rsid w:val="00C774AF"/>
    <w:rsid w:val="00C91C29"/>
    <w:rsid w:val="00D101D6"/>
    <w:rsid w:val="00D36C74"/>
    <w:rsid w:val="00D56CB4"/>
    <w:rsid w:val="00D904CE"/>
    <w:rsid w:val="00DA3FEC"/>
    <w:rsid w:val="00DB4B89"/>
    <w:rsid w:val="00DB7AC6"/>
    <w:rsid w:val="00DE7507"/>
    <w:rsid w:val="00E10AAB"/>
    <w:rsid w:val="00E32914"/>
    <w:rsid w:val="00E35C13"/>
    <w:rsid w:val="00E40362"/>
    <w:rsid w:val="00EB275B"/>
    <w:rsid w:val="00F1151D"/>
    <w:rsid w:val="00F13908"/>
    <w:rsid w:val="00F209A8"/>
    <w:rsid w:val="00F31C66"/>
    <w:rsid w:val="00F5790E"/>
    <w:rsid w:val="00F62DD5"/>
    <w:rsid w:val="00FC7D75"/>
    <w:rsid w:val="00FD482C"/>
    <w:rsid w:val="00FE090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2B2B-3952-41D1-B2E9-BBF9F28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EE"/>
  </w:style>
  <w:style w:type="paragraph" w:styleId="2">
    <w:name w:val="heading 2"/>
    <w:basedOn w:val="a"/>
    <w:link w:val="20"/>
    <w:uiPriority w:val="9"/>
    <w:qFormat/>
    <w:rsid w:val="0071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2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4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hyperlink" Target="http://www.stavinvest.ru/business/state-support-of-small-and-medium-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s://ofd.nalog.ru/static/tree2.html?inp=okved1&amp;tree=RSMP_OKVED_1&amp;treeKind=LINKED&amp;aver=1.36.4&amp;sver=4.39.5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211F-A118-4C09-9375-0FE1E218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32</cp:revision>
  <cp:lastPrinted>2024-05-28T05:39:00Z</cp:lastPrinted>
  <dcterms:created xsi:type="dcterms:W3CDTF">2023-01-23T16:04:00Z</dcterms:created>
  <dcterms:modified xsi:type="dcterms:W3CDTF">2024-05-28T13:05:00Z</dcterms:modified>
</cp:coreProperties>
</file>