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96" w:rsidRPr="00501485" w:rsidRDefault="008E2E96" w:rsidP="008E2E96">
      <w:pPr>
        <w:spacing w:after="120" w:line="288" w:lineRule="atLeast"/>
        <w:jc w:val="center"/>
        <w:textAlignment w:val="baseline"/>
        <w:outlineLvl w:val="0"/>
        <w:rPr>
          <w:rFonts w:ascii="Arial" w:hAnsi="Arial" w:cs="Arial"/>
          <w:b/>
          <w:bCs/>
          <w:color w:val="057E45"/>
          <w:kern w:val="36"/>
          <w:sz w:val="45"/>
          <w:szCs w:val="45"/>
          <w:lang w:eastAsia="ru-RU"/>
        </w:rPr>
      </w:pPr>
      <w:r w:rsidRPr="00501485">
        <w:rPr>
          <w:rFonts w:ascii="Arial" w:hAnsi="Arial" w:cs="Arial"/>
          <w:b/>
          <w:bCs/>
          <w:color w:val="057E45"/>
          <w:kern w:val="36"/>
          <w:sz w:val="32"/>
          <w:szCs w:val="32"/>
          <w:lang w:eastAsia="ru-RU"/>
        </w:rPr>
        <w:t>Субсидия на агрострахование</w:t>
      </w:r>
    </w:p>
    <w:p w:rsidR="008E2E96" w:rsidRPr="00501485" w:rsidRDefault="008E2E96" w:rsidP="008E2E96">
      <w:pPr>
        <w:spacing w:after="0" w:line="240" w:lineRule="auto"/>
        <w:contextualSpacing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inherit" w:hAnsi="inherit" w:cs="Arial"/>
          <w:b/>
          <w:bCs/>
          <w:color w:val="535353"/>
          <w:sz w:val="21"/>
          <w:szCs w:val="21"/>
          <w:bdr w:val="none" w:sz="0" w:space="0" w:color="auto" w:frame="1"/>
          <w:lang w:eastAsia="ru-RU"/>
        </w:rPr>
        <w:t>Субсидия выплачивается «на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премии, начисленной по договору сельскохозяйственного страхования»</w:t>
      </w:r>
    </w:p>
    <w:p w:rsidR="008E2E96" w:rsidRPr="00501485" w:rsidRDefault="008E2E96" w:rsidP="008E2E96">
      <w:pPr>
        <w:spacing w:after="48" w:line="288" w:lineRule="atLeast"/>
        <w:contextualSpacing/>
        <w:jc w:val="center"/>
        <w:textAlignment w:val="baseline"/>
        <w:outlineLvl w:val="1"/>
        <w:rPr>
          <w:rFonts w:ascii="Arial" w:hAnsi="Arial" w:cs="Arial"/>
          <w:b/>
          <w:bCs/>
          <w:color w:val="057E45"/>
          <w:sz w:val="30"/>
          <w:szCs w:val="30"/>
          <w:lang w:eastAsia="ru-RU"/>
        </w:rPr>
      </w:pPr>
      <w:r w:rsidRPr="00501485">
        <w:rPr>
          <w:rFonts w:ascii="Arial" w:hAnsi="Arial" w:cs="Arial"/>
          <w:b/>
          <w:bCs/>
          <w:color w:val="057E45"/>
          <w:sz w:val="30"/>
          <w:szCs w:val="30"/>
          <w:lang w:eastAsia="ru-RU"/>
        </w:rPr>
        <w:t>Кто может получить?</w:t>
      </w:r>
    </w:p>
    <w:p w:rsidR="008E2E96" w:rsidRPr="00501485" w:rsidRDefault="008E2E96" w:rsidP="008E2E96">
      <w:pPr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Любой сельскохозяйственный товаропроизводитель (за исключением граждан, ведущих личное подсобное хозяйство, и сельскохозяйственных кредитных потребительских кооперативов), зарегистрированным и осуществляющим свою деятельность на территории Ставропольского края, включенным министерством сельского хозяйства Ставропольского края в реестр государственной поддержки.</w:t>
      </w:r>
    </w:p>
    <w:p w:rsidR="008E2E96" w:rsidRPr="00501485" w:rsidRDefault="008E2E96" w:rsidP="008E2E96">
      <w:pPr>
        <w:spacing w:after="48" w:line="288" w:lineRule="atLeast"/>
        <w:contextualSpacing/>
        <w:jc w:val="center"/>
        <w:textAlignment w:val="baseline"/>
        <w:outlineLvl w:val="1"/>
        <w:rPr>
          <w:rFonts w:ascii="Arial" w:hAnsi="Arial" w:cs="Arial"/>
          <w:b/>
          <w:bCs/>
          <w:color w:val="057E45"/>
          <w:sz w:val="30"/>
          <w:szCs w:val="30"/>
          <w:lang w:eastAsia="ru-RU"/>
        </w:rPr>
      </w:pPr>
      <w:r w:rsidRPr="00501485">
        <w:rPr>
          <w:rFonts w:ascii="Arial" w:hAnsi="Arial" w:cs="Arial"/>
          <w:b/>
          <w:bCs/>
          <w:color w:val="057E45"/>
          <w:sz w:val="30"/>
          <w:szCs w:val="30"/>
          <w:lang w:eastAsia="ru-RU"/>
        </w:rPr>
        <w:t>Условия получения субсидии</w:t>
      </w:r>
    </w:p>
    <w:p w:rsidR="008E2E96" w:rsidRPr="00501485" w:rsidRDefault="008E2E96" w:rsidP="008E2E96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 xml:space="preserve">Сельхозпроизводитель должен заключить договор агрострахования со страховой организацией, которая имеет лицензию на осуществление сельскохозяйственного страхования и является членом объединения страховщиков; </w:t>
      </w:r>
    </w:p>
    <w:p w:rsidR="008E2E96" w:rsidRPr="00501485" w:rsidRDefault="008E2E96" w:rsidP="008E2E96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Договор сельскохозяйственного страхования заключается в отношении:</w:t>
      </w:r>
    </w:p>
    <w:p w:rsidR="008E2E96" w:rsidRPr="00501485" w:rsidRDefault="008E2E96" w:rsidP="008E2E96">
      <w:pPr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- сельскохозяйственных культур (за исключением многолетних насаждений, многолетних трав посева прошлых лет) - в срок не позднее 15 календарных дней после окончания их сева или посадки;</w:t>
      </w:r>
    </w:p>
    <w:p w:rsidR="008E2E96" w:rsidRPr="00501485" w:rsidRDefault="008E2E96" w:rsidP="008E2E96">
      <w:pPr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- многолетних насаждений – до момента прекращения их вегетации  (перехода в состояние зимнего покоя);</w:t>
      </w:r>
    </w:p>
    <w:p w:rsidR="008E2E96" w:rsidRPr="00501485" w:rsidRDefault="008E2E96" w:rsidP="008E2E96">
      <w:pPr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- сельскохозяйственных животных – на срок не менее чем один год;</w:t>
      </w:r>
    </w:p>
    <w:p w:rsidR="008E2E96" w:rsidRPr="00501485" w:rsidRDefault="008E2E96" w:rsidP="008E2E96">
      <w:pPr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- объектов товарной аквакультуры (товарного рыбоводства) – на срок не менее чем один год.</w:t>
      </w:r>
    </w:p>
    <w:p w:rsidR="008E2E96" w:rsidRPr="00501485" w:rsidRDefault="008E2E96" w:rsidP="008E2E96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Договор агрострахования должен вступить в силу, а сельхозпроизводитель – заплатить 50% начисленной страховой премии по данному договору.</w:t>
      </w:r>
    </w:p>
    <w:p w:rsidR="008E2E96" w:rsidRPr="00501485" w:rsidRDefault="008E2E96" w:rsidP="008E2E96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Страховая сумма должна быть установлена в размере не менее чем 70 процентов страховой стоимости урожая сельскохозяйственных культур, в том числе многолетних насаждений, посадок многолетних насаждений, сельскохозяйственных животных и объектов товарной аквакультуры (товарного рыбоводства).</w:t>
      </w:r>
    </w:p>
    <w:p w:rsidR="008E2E96" w:rsidRPr="00501485" w:rsidRDefault="008E2E96" w:rsidP="008E2E96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Франшиза должна быть установлена в размере, не менее 10 процентов и не превышающем 50 процентов страховой суммы в отношении каждой сельскохозяйственной культуры, группы многолетних насаждений.</w:t>
      </w:r>
    </w:p>
    <w:p w:rsidR="008E2E96" w:rsidRPr="00501485" w:rsidRDefault="008E2E96" w:rsidP="008E2E96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Франшиза должна быть установлена в размере, не превышающем 30 процентов страховой суммы, которые определяются с учетом  вида, пола, возрастного состава сельскохозяйственных животных, вида, пола, возрастного состава объектов товарной аквакультурыв случае, если договор сельскохозяйственного страхования предусматривает установление безусловной франшизы или агрегатной безусловной франшизы.</w:t>
      </w:r>
    </w:p>
    <w:p w:rsidR="008E2E96" w:rsidRPr="00501485" w:rsidRDefault="008E2E96" w:rsidP="008E2E96">
      <w:pPr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Детали условий описаны в административных регламентах </w:t>
      </w:r>
      <w:r w:rsidRPr="00501485">
        <w:rPr>
          <w:rFonts w:ascii="Arial" w:hAnsi="Arial" w:cs="Arial"/>
          <w:color w:val="5F25AF"/>
          <w:sz w:val="21"/>
          <w:szCs w:val="21"/>
          <w:u w:val="single"/>
          <w:bdr w:val="none" w:sz="0" w:space="0" w:color="auto" w:frame="1"/>
          <w:lang w:eastAsia="ru-RU"/>
        </w:rPr>
        <w:t xml:space="preserve">на сайте Министерства сельского хозяйства Ставропольского края </w:t>
      </w: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.</w:t>
      </w:r>
    </w:p>
    <w:p w:rsidR="008E2E96" w:rsidRPr="00501485" w:rsidRDefault="008E2E96" w:rsidP="008E2E96">
      <w:pPr>
        <w:spacing w:after="48" w:line="288" w:lineRule="atLeast"/>
        <w:contextualSpacing/>
        <w:jc w:val="center"/>
        <w:textAlignment w:val="baseline"/>
        <w:outlineLvl w:val="1"/>
        <w:rPr>
          <w:rFonts w:ascii="Arial" w:hAnsi="Arial" w:cs="Arial"/>
          <w:b/>
          <w:bCs/>
          <w:color w:val="057E45"/>
          <w:sz w:val="30"/>
          <w:szCs w:val="30"/>
          <w:lang w:eastAsia="ru-RU"/>
        </w:rPr>
      </w:pPr>
      <w:r w:rsidRPr="00501485">
        <w:rPr>
          <w:rFonts w:ascii="Arial" w:hAnsi="Arial" w:cs="Arial"/>
          <w:b/>
          <w:bCs/>
          <w:color w:val="057E45"/>
          <w:sz w:val="30"/>
          <w:szCs w:val="30"/>
          <w:lang w:eastAsia="ru-RU"/>
        </w:rPr>
        <w:t>Каков размер субсидии?</w:t>
      </w:r>
    </w:p>
    <w:p w:rsidR="008E2E96" w:rsidRPr="00501485" w:rsidRDefault="008E2E96" w:rsidP="008E2E96">
      <w:pPr>
        <w:spacing w:after="24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 50% начисленной страховой премии (страховых взносов) по договору страхования перечисляется из бюджета напрямую на расчетный счет страховой организации. </w:t>
      </w:r>
    </w:p>
    <w:p w:rsidR="008E2E96" w:rsidRPr="00501485" w:rsidRDefault="008E2E96" w:rsidP="008E2E96">
      <w:pPr>
        <w:spacing w:after="240" w:line="240" w:lineRule="auto"/>
        <w:contextualSpacing/>
        <w:jc w:val="center"/>
        <w:textAlignment w:val="baseline"/>
        <w:rPr>
          <w:rFonts w:ascii="Arial" w:hAnsi="Arial" w:cs="Arial"/>
          <w:b/>
          <w:bCs/>
          <w:color w:val="057E45"/>
          <w:sz w:val="30"/>
          <w:szCs w:val="30"/>
          <w:lang w:eastAsia="ru-RU"/>
        </w:rPr>
      </w:pPr>
      <w:r w:rsidRPr="00501485">
        <w:rPr>
          <w:rFonts w:ascii="Arial" w:hAnsi="Arial" w:cs="Arial"/>
          <w:b/>
          <w:bCs/>
          <w:color w:val="057E45"/>
          <w:sz w:val="30"/>
          <w:szCs w:val="30"/>
          <w:lang w:eastAsia="ru-RU"/>
        </w:rPr>
        <w:t>Как получить?</w:t>
      </w:r>
    </w:p>
    <w:p w:rsidR="008E2E96" w:rsidRPr="00501485" w:rsidRDefault="008E2E96" w:rsidP="008E2E96">
      <w:pPr>
        <w:spacing w:after="24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Для получения субсидии необходимо обращаться в министерство сельского хозяйства Ставропольского края.</w:t>
      </w:r>
    </w:p>
    <w:p w:rsidR="008E2E96" w:rsidRPr="00501485" w:rsidRDefault="008E2E96" w:rsidP="008E2E96">
      <w:pPr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Информация о сроках начала и окончания приёма заявок на получение субсидии появляется на официальном сайте министерства сельского хозяйства Ставропольского края: </w:t>
      </w:r>
      <w:r w:rsidRPr="00501485">
        <w:rPr>
          <w:rFonts w:ascii="Arial" w:hAnsi="Arial" w:cs="Arial"/>
          <w:color w:val="5F25AF"/>
          <w:sz w:val="21"/>
          <w:szCs w:val="21"/>
          <w:u w:val="single"/>
          <w:bdr w:val="none" w:sz="0" w:space="0" w:color="auto" w:frame="1"/>
          <w:lang w:eastAsia="ru-RU"/>
        </w:rPr>
        <w:t>http://www.mshsk.ru/</w:t>
      </w:r>
    </w:p>
    <w:p w:rsidR="008E2E96" w:rsidRPr="00501485" w:rsidRDefault="008E2E96" w:rsidP="008E2E96">
      <w:pPr>
        <w:spacing w:after="24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В назначенные сроки сельхозтоваропроизводитель должен подать в министерство сельского хозяйства Ставропольского края  пакет документов (можно сделать это посредством МФЦ).</w:t>
      </w:r>
    </w:p>
    <w:p w:rsidR="008E2E96" w:rsidRPr="00501485" w:rsidRDefault="008E2E96" w:rsidP="008E2E96">
      <w:pPr>
        <w:spacing w:after="240" w:line="240" w:lineRule="auto"/>
        <w:ind w:firstLine="708"/>
        <w:contextualSpacing/>
        <w:jc w:val="both"/>
        <w:textAlignment w:val="baseline"/>
        <w:rPr>
          <w:rFonts w:ascii="Arial" w:hAnsi="Arial" w:cs="Arial"/>
          <w:color w:val="535353"/>
          <w:sz w:val="21"/>
          <w:szCs w:val="2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 xml:space="preserve">Полная информация о расчете субсидии, обязательных документах и прочие условия размещена </w:t>
      </w:r>
      <w:r w:rsidRPr="00501485">
        <w:rPr>
          <w:rFonts w:ascii="Arial" w:hAnsi="Arial" w:cs="Arial"/>
          <w:color w:val="5F25AF"/>
          <w:sz w:val="21"/>
          <w:szCs w:val="21"/>
          <w:u w:val="single"/>
          <w:bdr w:val="none" w:sz="0" w:space="0" w:color="auto" w:frame="1"/>
          <w:lang w:eastAsia="ru-RU"/>
        </w:rPr>
        <w:t>на сайте администрации Минераловодского городского округа Ставропольского края</w:t>
      </w: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.</w:t>
      </w:r>
    </w:p>
    <w:p w:rsidR="008E2E96" w:rsidRPr="00501485" w:rsidRDefault="008E2E96" w:rsidP="008E2E96">
      <w:pPr>
        <w:spacing w:after="240" w:line="240" w:lineRule="auto"/>
        <w:contextualSpacing/>
        <w:jc w:val="both"/>
        <w:textAlignment w:val="baseline"/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</w:pPr>
      <w:r w:rsidRPr="00501485">
        <w:rPr>
          <w:rFonts w:ascii="Arial" w:hAnsi="Arial" w:cs="Arial"/>
          <w:color w:val="535353"/>
          <w:sz w:val="21"/>
          <w:szCs w:val="21"/>
          <w:lang w:eastAsia="ru-RU"/>
        </w:rPr>
        <w:t> </w:t>
      </w:r>
      <w:r w:rsidRPr="00501485"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  <w:t>Справочные телефоны:</w:t>
      </w:r>
    </w:p>
    <w:p w:rsidR="008E2E96" w:rsidRPr="00501485" w:rsidRDefault="008E2E96" w:rsidP="008E2E96">
      <w:pPr>
        <w:spacing w:after="0" w:line="240" w:lineRule="auto"/>
        <w:contextualSpacing/>
        <w:jc w:val="both"/>
        <w:textAlignment w:val="baseline"/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</w:pPr>
      <w:r w:rsidRPr="00501485"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01485">
        <w:rPr>
          <w:rFonts w:ascii="inherit" w:hAnsi="inherit" w:cs="Arial" w:hint="eastAsia"/>
          <w:i/>
          <w:iCs/>
          <w:color w:val="535353"/>
          <w:sz w:val="21"/>
          <w:szCs w:val="21"/>
          <w:bdr w:val="none" w:sz="0" w:space="0" w:color="auto" w:frame="1"/>
          <w:lang w:eastAsia="ru-RU"/>
        </w:rPr>
        <w:t>Р</w:t>
      </w:r>
      <w:r w:rsidRPr="00501485"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  <w:t>уководитель отдела планирования и закупок Управления сельского хозяйства администрации Минераловодского городского округа:</w:t>
      </w:r>
    </w:p>
    <w:p w:rsidR="008E2E96" w:rsidRPr="00501485" w:rsidRDefault="008E2E96" w:rsidP="008E2E96">
      <w:pPr>
        <w:spacing w:after="0" w:line="240" w:lineRule="auto"/>
        <w:contextualSpacing/>
        <w:jc w:val="both"/>
        <w:textAlignment w:val="baseline"/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</w:pPr>
      <w:r w:rsidRPr="00501485"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  <w:t>+7(7922)6-10-92, 8(962)435-38-67 Аленгоз Анна Геннадьевна</w:t>
      </w:r>
    </w:p>
    <w:p w:rsidR="008E2E96" w:rsidRPr="00501485" w:rsidRDefault="008E2E96" w:rsidP="008E2E96">
      <w:pPr>
        <w:spacing w:after="0" w:line="240" w:lineRule="auto"/>
        <w:jc w:val="both"/>
        <w:textAlignment w:val="baseline"/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</w:pPr>
      <w:r w:rsidRPr="00501485">
        <w:rPr>
          <w:rFonts w:ascii="inherit" w:hAnsi="inherit" w:cs="Arial" w:hint="eastAsia"/>
          <w:i/>
          <w:iCs/>
          <w:color w:val="535353"/>
          <w:sz w:val="21"/>
          <w:szCs w:val="21"/>
          <w:bdr w:val="none" w:sz="0" w:space="0" w:color="auto" w:frame="1"/>
          <w:lang w:eastAsia="ru-RU"/>
        </w:rPr>
        <w:t>С</w:t>
      </w:r>
      <w:r w:rsidRPr="00501485"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  <w:t>пециалист ГКУ «Ставропольский сельскохозяйственный информационно-консультационный центр»:</w:t>
      </w:r>
    </w:p>
    <w:p w:rsidR="008E2E96" w:rsidRDefault="008E2E96" w:rsidP="008E2E96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01485">
        <w:rPr>
          <w:rFonts w:ascii="inherit" w:hAnsi="inherit" w:cs="Arial"/>
          <w:i/>
          <w:iCs/>
          <w:color w:val="535353"/>
          <w:sz w:val="21"/>
          <w:szCs w:val="21"/>
          <w:bdr w:val="none" w:sz="0" w:space="0" w:color="auto" w:frame="1"/>
          <w:lang w:eastAsia="ru-RU"/>
        </w:rPr>
        <w:t>8(928)328-42-02 Антифеева Татьяна Ивановна</w:t>
      </w:r>
    </w:p>
    <w:p w:rsidR="00970E36" w:rsidRDefault="00970E36">
      <w:bookmarkStart w:id="0" w:name="_GoBack"/>
      <w:bookmarkEnd w:id="0"/>
    </w:p>
    <w:sectPr w:rsidR="00970E36" w:rsidSect="00F83CF1">
      <w:headerReference w:type="default" r:id="rId5"/>
      <w:pgSz w:w="11906" w:h="16838" w:code="9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EC" w:rsidRDefault="008E2E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4899"/>
    <w:multiLevelType w:val="multilevel"/>
    <w:tmpl w:val="C81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96"/>
    <w:rsid w:val="008E2E96"/>
    <w:rsid w:val="009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8382-015D-47E9-80A5-92123B08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9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E9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1</cp:revision>
  <dcterms:created xsi:type="dcterms:W3CDTF">2020-10-23T06:33:00Z</dcterms:created>
  <dcterms:modified xsi:type="dcterms:W3CDTF">2020-10-23T06:34:00Z</dcterms:modified>
</cp:coreProperties>
</file>