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C94206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C94206">
        <w:rPr>
          <w:rFonts w:ascii="Times New Roman CYR" w:hAnsi="Times New Roman CYR" w:cs="Times New Roman CYR"/>
          <w:szCs w:val="20"/>
          <w:lang w:eastAsia="zh-CN"/>
        </w:rPr>
        <w:t>103/747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609F1">
        <w:t>Подымову</w:t>
      </w:r>
      <w:proofErr w:type="spellEnd"/>
      <w:r w:rsidR="009609F1">
        <w:t xml:space="preserve"> </w:t>
      </w:r>
      <w:r w:rsidR="006B1545">
        <w:t>Станиславу</w:t>
      </w:r>
      <w:r w:rsidR="009609F1">
        <w:t xml:space="preserve"> Андреевичу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C94206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6B1545">
        <w:rPr>
          <w:sz w:val="28"/>
          <w:szCs w:val="28"/>
        </w:rPr>
        <w:t>10</w:t>
      </w:r>
      <w:r w:rsidRPr="00BF5A64">
        <w:rPr>
          <w:sz w:val="28"/>
          <w:szCs w:val="28"/>
        </w:rPr>
        <w:t xml:space="preserve"> </w:t>
      </w:r>
      <w:proofErr w:type="spellStart"/>
      <w:r w:rsidR="009609F1" w:rsidRPr="009609F1">
        <w:rPr>
          <w:sz w:val="28"/>
          <w:szCs w:val="28"/>
        </w:rPr>
        <w:t>Подымову</w:t>
      </w:r>
      <w:proofErr w:type="spellEnd"/>
      <w:r w:rsidR="009609F1" w:rsidRPr="009609F1">
        <w:rPr>
          <w:sz w:val="28"/>
          <w:szCs w:val="28"/>
        </w:rPr>
        <w:t xml:space="preserve"> </w:t>
      </w:r>
      <w:r w:rsidR="006B1545">
        <w:rPr>
          <w:sz w:val="28"/>
          <w:szCs w:val="28"/>
        </w:rPr>
        <w:t>Станиславу</w:t>
      </w:r>
      <w:r w:rsidR="009609F1" w:rsidRPr="009609F1">
        <w:rPr>
          <w:sz w:val="28"/>
          <w:szCs w:val="28"/>
        </w:rPr>
        <w:t xml:space="preserve"> Андреевичу</w:t>
      </w:r>
      <w:r w:rsidRPr="00BF5A64">
        <w:rPr>
          <w:sz w:val="28"/>
          <w:szCs w:val="28"/>
        </w:rPr>
        <w:t xml:space="preserve">, ИНН </w:t>
      </w:r>
      <w:r w:rsidR="006B1545">
        <w:rPr>
          <w:sz w:val="28"/>
          <w:szCs w:val="28"/>
        </w:rPr>
        <w:t>263092792176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C94206">
        <w:rPr>
          <w:sz w:val="28"/>
          <w:szCs w:val="28"/>
        </w:rPr>
        <w:t xml:space="preserve">дополнительном </w:t>
      </w:r>
      <w:r w:rsidR="001A44F6" w:rsidRPr="001A44F6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</w:t>
      </w:r>
      <w:bookmarkStart w:id="0" w:name="_GoBack"/>
      <w:bookmarkEnd w:id="0"/>
      <w:r>
        <w:t xml:space="preserve">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4871D5"/>
    <w:rsid w:val="00592AD3"/>
    <w:rsid w:val="00695C35"/>
    <w:rsid w:val="006B1545"/>
    <w:rsid w:val="00722B23"/>
    <w:rsid w:val="007741D0"/>
    <w:rsid w:val="009609F1"/>
    <w:rsid w:val="009C5363"/>
    <w:rsid w:val="00A51ADA"/>
    <w:rsid w:val="00A81209"/>
    <w:rsid w:val="00B046A6"/>
    <w:rsid w:val="00B11876"/>
    <w:rsid w:val="00B811A7"/>
    <w:rsid w:val="00BE590C"/>
    <w:rsid w:val="00BF5A64"/>
    <w:rsid w:val="00C94206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2025-07-15T08:56:00Z</cp:lastPrinted>
  <dcterms:created xsi:type="dcterms:W3CDTF">2025-07-12T10:08:00Z</dcterms:created>
  <dcterms:modified xsi:type="dcterms:W3CDTF">2025-07-15T08:56:00Z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