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FD" w:rsidRDefault="00F942FD" w:rsidP="007E59E8">
      <w:pPr>
        <w:spacing w:line="240" w:lineRule="exact"/>
        <w:ind w:left="40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административному регламенту 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   </w:t>
      </w:r>
      <w:r w:rsidR="00842924">
        <w:rPr>
          <w:rFonts w:ascii="Times New Roman" w:hAnsi="Times New Roman" w:cs="Times New Roman"/>
          <w:sz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7 декабря 2004 г. № 100-кз «О мерах социальной поддержки жертв политических репрессий»</w:t>
      </w:r>
    </w:p>
    <w:p w:rsidR="00F942FD" w:rsidRDefault="00F942FD" w:rsidP="00F942FD">
      <w:pPr>
        <w:ind w:firstLine="6300"/>
        <w:rPr>
          <w:rFonts w:ascii="Times New Roman" w:hAnsi="Times New Roman" w:cs="Times New Roman"/>
          <w:sz w:val="24"/>
        </w:rPr>
      </w:pPr>
    </w:p>
    <w:p w:rsidR="00F942FD" w:rsidRDefault="00842924" w:rsidP="00F942FD">
      <w:pPr>
        <w:autoSpaceDE w:val="0"/>
        <w:jc w:val="center"/>
        <w:rPr>
          <w:rFonts w:ascii="Times New Roman" w:hAnsi="Times New Roman" w:cs="Times New Roman"/>
          <w:sz w:val="25"/>
          <w:szCs w:val="25"/>
        </w:rPr>
      </w:pPr>
      <w:hyperlink r:id="rId7" w:history="1">
        <w:r w:rsidR="00F942FD">
          <w:rPr>
            <w:rStyle w:val="a3"/>
            <w:rFonts w:ascii="Times New Roman" w:hAnsi="Times New Roman" w:cs="Times New Roman"/>
            <w:sz w:val="25"/>
            <w:szCs w:val="25"/>
          </w:rPr>
          <w:t>Блок-схема</w:t>
        </w:r>
      </w:hyperlink>
    </w:p>
    <w:p w:rsidR="00F942FD" w:rsidRDefault="00F942FD" w:rsidP="00F942FD">
      <w:pPr>
        <w:autoSpaceDE w:val="0"/>
        <w:jc w:val="center"/>
        <w:rPr>
          <w:rFonts w:ascii="Times New Roman" w:eastAsia="Arial CYR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предоставления государственной услуги «Назначение и осуществление ежемесячной денежной выплаты реабилитированным лицам и лицам, признанным пострадавшими от политических репрессий»</w:t>
      </w:r>
    </w:p>
    <w:p w:rsidR="00F942FD" w:rsidRDefault="00F942FD" w:rsidP="00F942FD">
      <w:pPr>
        <w:autoSpaceDE w:val="0"/>
        <w:jc w:val="center"/>
        <w:rPr>
          <w:rFonts w:ascii="Times New Roman" w:eastAsia="Arial CYR" w:hAnsi="Times New Roman" w:cs="Times New Roman"/>
          <w:sz w:val="22"/>
          <w:szCs w:val="22"/>
        </w:rPr>
      </w:pPr>
    </w:p>
    <w:p w:rsidR="00F942FD" w:rsidRDefault="00F942FD" w:rsidP="00F942FD">
      <w:pPr>
        <w:widowControl/>
        <w:suppressAutoHyphens w:val="0"/>
        <w:spacing w:line="240" w:lineRule="exact"/>
        <w:ind w:left="40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942FD" w:rsidRDefault="00F942FD" w:rsidP="00F942FD">
      <w:pPr>
        <w:pStyle w:val="ConsPlusNormal"/>
        <w:jc w:val="both"/>
      </w:pP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Обращение гражданина    ├─────&gt;│   Информирование и  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                   │      │   консультирование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└─────┬────────────────┘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│            ┌───────────────────┘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Прием и регистрация документов       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└─────────┬────────────────────────────────────────┘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 Взаимодействие органа соцзащиты с организациями,    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  участвующими в предоставлении услуги   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└─────────┬─────────────────────────────────────────────────┘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Проверка права       ├─────&gt;│  Отказ о назначении 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                   │      │        ЕДВ   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└───────────┬──────────┘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             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Решение о назначении    │      │      Уведомление    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                   │      │об отказе в назначении│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                   │      │          ЕДВ 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└───────────┬──────────┘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             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Уведомление </w:t>
      </w:r>
      <w:proofErr w:type="gramStart"/>
      <w:r>
        <w:t>о</w:t>
      </w:r>
      <w:proofErr w:type="gramEnd"/>
      <w:r>
        <w:t xml:space="preserve">       │      │        Жалоба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</w:t>
      </w:r>
      <w:proofErr w:type="gramStart"/>
      <w:r>
        <w:t>назначении</w:t>
      </w:r>
      <w:proofErr w:type="gramEnd"/>
      <w:r>
        <w:t xml:space="preserve"> ЕДВ       │      └───────────┬──────────┘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└─────────┬───────────────────┘          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             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Формирование </w:t>
      </w:r>
      <w:proofErr w:type="gramStart"/>
      <w:r>
        <w:t>выплатных</w:t>
      </w:r>
      <w:proofErr w:type="gramEnd"/>
      <w:r>
        <w:t xml:space="preserve">   │      │ Обжалование отказа в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документов         │      │  досудебном </w:t>
      </w:r>
      <w:proofErr w:type="gramStart"/>
      <w:r>
        <w:t>порядке</w:t>
      </w:r>
      <w:proofErr w:type="gramEnd"/>
      <w:r>
        <w:t xml:space="preserve">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└─────────┬───────────────────┘      └──────────────────────┘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Выплатные документы 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└─────────┬───────────────────┘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\/</w:t>
      </w:r>
    </w:p>
    <w:p w:rsidR="00F942FD" w:rsidRDefault="00F942FD" w:rsidP="00F942FD">
      <w:pPr>
        <w:pStyle w:val="ConsPlusNonformat"/>
        <w:jc w:val="both"/>
      </w:pPr>
    </w:p>
    <w:p w:rsidR="00F942FD" w:rsidRDefault="00F942FD" w:rsidP="00F942FD">
      <w:pPr>
        <w:pStyle w:val="ConsPlusNonformat"/>
        <w:jc w:val="both"/>
      </w:pPr>
    </w:p>
    <w:p w:rsidR="00F942FD" w:rsidRDefault="00F942FD" w:rsidP="00F942FD">
      <w:pPr>
        <w:pStyle w:val="ConsPlusNonformat"/>
        <w:jc w:val="both"/>
      </w:pPr>
    </w:p>
    <w:p w:rsidR="00F942FD" w:rsidRDefault="00F942FD" w:rsidP="00F942FD">
      <w:pPr>
        <w:pStyle w:val="ConsPlusNonformat"/>
        <w:jc w:val="both"/>
      </w:pPr>
    </w:p>
    <w:p w:rsidR="00F942FD" w:rsidRDefault="00F942FD" w:rsidP="00F942FD">
      <w:pPr>
        <w:pStyle w:val="ConsPlusNonformat"/>
        <w:jc w:val="both"/>
      </w:pPr>
    </w:p>
    <w:p w:rsidR="00F942FD" w:rsidRDefault="00F942FD" w:rsidP="00F942FD">
      <w:pPr>
        <w:pStyle w:val="ConsPlusNonformat"/>
        <w:jc w:val="both"/>
      </w:pPr>
      <w:r>
        <w:lastRenderedPageBreak/>
        <w:t xml:space="preserve">              ┌───────────────────────────────────────────────────────────┐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Перечисление ЕДВ по ведомостям в почтовые отделения связи │</w:t>
      </w:r>
    </w:p>
    <w:p w:rsidR="00F942FD" w:rsidRDefault="00F942FD" w:rsidP="00F942FD">
      <w:pPr>
        <w:pStyle w:val="ConsPlusNonformat"/>
        <w:jc w:val="both"/>
      </w:pPr>
      <w:r>
        <w:t xml:space="preserve">              │  или в кредитные учреждения для зачисления ЕДВ </w:t>
      </w:r>
      <w:proofErr w:type="gramStart"/>
      <w:r>
        <w:t>на</w:t>
      </w:r>
      <w:proofErr w:type="gramEnd"/>
      <w:r>
        <w:t xml:space="preserve"> лицевые │</w:t>
      </w:r>
    </w:p>
    <w:p w:rsidR="00F942FD" w:rsidRDefault="00F942FD" w:rsidP="00F942FD">
      <w:pPr>
        <w:pStyle w:val="ConsPlusNonformat"/>
        <w:jc w:val="both"/>
      </w:pPr>
      <w:r>
        <w:t xml:space="preserve">              │                     счета получателей                 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└──────────────┬────────────────────────────────┬───────────┘</w:t>
      </w:r>
    </w:p>
    <w:p w:rsidR="00F942FD" w:rsidRDefault="00F942FD" w:rsidP="00F942FD">
      <w:pPr>
        <w:pStyle w:val="ConsPlusNonforma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t xml:space="preserve">                             </w:t>
      </w:r>
    </w:p>
    <w:p w:rsidR="00F942FD" w:rsidRDefault="00F942FD" w:rsidP="00F942FD">
      <w:pPr>
        <w:pStyle w:val="ConsPlusNonformat"/>
        <w:jc w:val="both"/>
      </w:pPr>
      <w:r>
        <w:t xml:space="preserve">                            \/       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      ┌──────────────────────┐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      Неполучение ЕДВ       │      │     Получение ЕДВ    │</w:t>
      </w:r>
    </w:p>
    <w:p w:rsidR="00F942FD" w:rsidRDefault="00F942FD" w:rsidP="00F942FD">
      <w:pPr>
        <w:pStyle w:val="ConsPlusNonformat"/>
        <w:jc w:val="both"/>
      </w:pPr>
      <w:r>
        <w:t xml:space="preserve">              └──────────────┬──────────────┘      └──────────────────────┘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                      \/</w:t>
      </w:r>
    </w:p>
    <w:p w:rsidR="00F942FD" w:rsidRDefault="00F942FD" w:rsidP="00F942FD">
      <w:pPr>
        <w:pStyle w:val="ConsPlusNonformat"/>
        <w:jc w:val="both"/>
      </w:pPr>
      <w:r>
        <w:t xml:space="preserve">              ┌─────────────────────────────┐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 xml:space="preserve">              │ Приглашение получателя ЕДВ, │</w:t>
      </w:r>
    </w:p>
    <w:p w:rsidR="00F942FD" w:rsidRDefault="00F942FD" w:rsidP="00F942FD">
      <w:pPr>
        <w:pStyle w:val="ConsPlusNonformat"/>
        <w:jc w:val="both"/>
      </w:pPr>
      <w:r>
        <w:t xml:space="preserve">     ┌────────┤уточнение причины неполучения│</w:t>
      </w:r>
    </w:p>
    <w:p w:rsidR="00F942FD" w:rsidRDefault="00F942FD" w:rsidP="00F942FD">
      <w:pPr>
        <w:pStyle w:val="ConsPlusNonformat"/>
        <w:jc w:val="both"/>
      </w:pPr>
      <w:r>
        <w:t xml:space="preserve">     │        │             ЕДВ             │</w:t>
      </w:r>
    </w:p>
    <w:p w:rsidR="00F942FD" w:rsidRDefault="00F942FD" w:rsidP="00F942FD">
      <w:pPr>
        <w:pStyle w:val="ConsPlusNonformat"/>
        <w:jc w:val="both"/>
      </w:pPr>
      <w:r>
        <w:t xml:space="preserve">     │        └─────────────────┬───────────┘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\/                         \/</w:t>
      </w:r>
    </w:p>
    <w:p w:rsidR="00F942FD" w:rsidRDefault="00F942FD" w:rsidP="00F942FD">
      <w:pPr>
        <w:pStyle w:val="ConsPlusNonformat"/>
        <w:jc w:val="both"/>
      </w:pPr>
      <w:r>
        <w:t>┌──────────────┐   ┌────────────────────────┐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>│ Заявление об │   │ Прекращение выплаты ЕДВ│</w:t>
      </w:r>
    </w:p>
    <w:p w:rsidR="00F942FD" w:rsidRDefault="00F942FD" w:rsidP="00F942FD">
      <w:pPr>
        <w:pStyle w:val="ConsPlusNonformat"/>
        <w:jc w:val="both"/>
      </w:pPr>
      <w:r>
        <w:t xml:space="preserve">│   </w:t>
      </w:r>
      <w:proofErr w:type="gramStart"/>
      <w:r>
        <w:t>изменении</w:t>
      </w:r>
      <w:proofErr w:type="gramEnd"/>
      <w:r>
        <w:t xml:space="preserve">  │   └────────────────────────┘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>│  реквизитов  │</w:t>
      </w:r>
    </w:p>
    <w:p w:rsidR="00F942FD" w:rsidRDefault="00F942FD" w:rsidP="00F942FD">
      <w:pPr>
        <w:pStyle w:val="ConsPlusNonformat"/>
        <w:jc w:val="both"/>
      </w:pPr>
      <w:r>
        <w:t>└──────┬───────┘</w:t>
      </w:r>
    </w:p>
    <w:p w:rsidR="00F942FD" w:rsidRDefault="00F942FD" w:rsidP="00F942FD">
      <w:pPr>
        <w:pStyle w:val="ConsPlusNonformat"/>
        <w:jc w:val="both"/>
      </w:pPr>
      <w:r>
        <w:t xml:space="preserve">       \/</w:t>
      </w:r>
    </w:p>
    <w:p w:rsidR="00F942FD" w:rsidRDefault="00F942FD" w:rsidP="00F942FD">
      <w:pPr>
        <w:pStyle w:val="ConsPlusNonformat"/>
        <w:jc w:val="both"/>
      </w:pPr>
      <w:r>
        <w:t>┌──────────────┐   ┌──────────────────┐</w:t>
      </w:r>
    </w:p>
    <w:p w:rsidR="00F942FD" w:rsidRDefault="00F942FD" w:rsidP="00F942FD">
      <w:pPr>
        <w:pStyle w:val="ConsPlusNonformat"/>
        <w:jc w:val="both"/>
      </w:pPr>
      <w:r>
        <w:t>│  Ввод в базы ├──&gt;│  Получение ЕДВ   │</w:t>
      </w:r>
    </w:p>
    <w:p w:rsidR="00F942FD" w:rsidRDefault="00F942FD" w:rsidP="00F942FD">
      <w:pPr>
        <w:pStyle w:val="ConsPlusNonformat"/>
        <w:jc w:val="both"/>
      </w:pPr>
      <w:r>
        <w:t>│  измененных  │   └──────────────────┘</w:t>
      </w:r>
    </w:p>
    <w:p w:rsidR="00F942FD" w:rsidRDefault="00F942FD" w:rsidP="00F942FD">
      <w:pPr>
        <w:pStyle w:val="ConsPlusNonformat"/>
        <w:jc w:val="both"/>
      </w:pPr>
      <w:r>
        <w:t>│    данных    │</w:t>
      </w:r>
    </w:p>
    <w:p w:rsidR="00F942FD" w:rsidRDefault="00F942FD" w:rsidP="00F942FD">
      <w:pPr>
        <w:pStyle w:val="ConsPlusNonformat"/>
        <w:jc w:val="both"/>
      </w:pPr>
      <w:r>
        <w:t>└──────────────┘</w:t>
      </w:r>
    </w:p>
    <w:p w:rsidR="00F942FD" w:rsidRDefault="00F942FD" w:rsidP="00F942FD">
      <w:pPr>
        <w:widowControl/>
        <w:suppressAutoHyphens w:val="0"/>
        <w:spacing w:line="240" w:lineRule="exact"/>
        <w:ind w:left="406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F942FD" w:rsidRDefault="00F942FD" w:rsidP="00F942FD">
      <w:pPr>
        <w:spacing w:line="240" w:lineRule="exact"/>
        <w:ind w:left="4060"/>
        <w:rPr>
          <w:rFonts w:ascii="Times New Roman" w:hAnsi="Times New Roman" w:cs="Times New Roman"/>
          <w:sz w:val="28"/>
          <w:szCs w:val="28"/>
        </w:rPr>
      </w:pPr>
    </w:p>
    <w:p w:rsidR="00286430" w:rsidRDefault="00286430"/>
    <w:sectPr w:rsidR="00286430" w:rsidSect="00F942F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FD" w:rsidRDefault="00F942FD" w:rsidP="00F942FD">
      <w:r>
        <w:separator/>
      </w:r>
    </w:p>
  </w:endnote>
  <w:endnote w:type="continuationSeparator" w:id="0">
    <w:p w:rsidR="00F942FD" w:rsidRDefault="00F942FD" w:rsidP="00F9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FD" w:rsidRDefault="00F942FD" w:rsidP="00F942FD">
      <w:r>
        <w:separator/>
      </w:r>
    </w:p>
  </w:footnote>
  <w:footnote w:type="continuationSeparator" w:id="0">
    <w:p w:rsidR="00F942FD" w:rsidRDefault="00F942FD" w:rsidP="00F94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668646"/>
      <w:docPartObj>
        <w:docPartGallery w:val="Page Numbers (Top of Page)"/>
        <w:docPartUnique/>
      </w:docPartObj>
    </w:sdtPr>
    <w:sdtEndPr/>
    <w:sdtContent>
      <w:p w:rsidR="00F942FD" w:rsidRDefault="00F942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924">
          <w:rPr>
            <w:noProof/>
          </w:rPr>
          <w:t>2</w:t>
        </w:r>
        <w:r>
          <w:fldChar w:fldCharType="end"/>
        </w:r>
      </w:p>
    </w:sdtContent>
  </w:sdt>
  <w:p w:rsidR="00F942FD" w:rsidRDefault="00F942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E3"/>
    <w:rsid w:val="001273E3"/>
    <w:rsid w:val="00286430"/>
    <w:rsid w:val="007E59E8"/>
    <w:rsid w:val="00842924"/>
    <w:rsid w:val="00F9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FD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42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F942FD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F942F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942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2FD"/>
    <w:rPr>
      <w:rFonts w:ascii="Arial" w:eastAsia="Lucida Sans Unicode" w:hAnsi="Arial" w:cs="Arial"/>
      <w:kern w:val="2"/>
      <w:sz w:val="21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942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2FD"/>
    <w:rPr>
      <w:rFonts w:ascii="Arial" w:eastAsia="Lucida Sans Unicode" w:hAnsi="Arial" w:cs="Arial"/>
      <w:kern w:val="2"/>
      <w:sz w:val="21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FD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42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F942FD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F942F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942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2FD"/>
    <w:rPr>
      <w:rFonts w:ascii="Arial" w:eastAsia="Lucida Sans Unicode" w:hAnsi="Arial" w:cs="Arial"/>
      <w:kern w:val="2"/>
      <w:sz w:val="21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942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2FD"/>
    <w:rPr>
      <w:rFonts w:ascii="Arial" w:eastAsia="Lucida Sans Unicode" w:hAnsi="Arial" w:cs="Arial"/>
      <w:kern w:val="2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6DDCF3D718AC0C814BC9DE9315CC65C76FED745A8899D304B0D9349A505FE94D4CE411F6759C94BD39AEt81F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698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Trud_2</dc:creator>
  <cp:keywords/>
  <dc:description/>
  <cp:lastModifiedBy>Пользователь</cp:lastModifiedBy>
  <cp:revision>4</cp:revision>
  <cp:lastPrinted>2024-10-28T14:58:00Z</cp:lastPrinted>
  <dcterms:created xsi:type="dcterms:W3CDTF">2024-08-20T13:58:00Z</dcterms:created>
  <dcterms:modified xsi:type="dcterms:W3CDTF">2024-10-28T14:58:00Z</dcterms:modified>
</cp:coreProperties>
</file>