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33" w:type="dxa"/>
        <w:tblInd w:w="93" w:type="dxa"/>
        <w:tblLook w:val="04A0" w:firstRow="1" w:lastRow="0" w:firstColumn="1" w:lastColumn="0" w:noHBand="0" w:noVBand="1"/>
      </w:tblPr>
      <w:tblGrid>
        <w:gridCol w:w="486"/>
        <w:gridCol w:w="3640"/>
        <w:gridCol w:w="4536"/>
        <w:gridCol w:w="900"/>
        <w:gridCol w:w="900"/>
        <w:gridCol w:w="920"/>
        <w:gridCol w:w="920"/>
        <w:gridCol w:w="920"/>
        <w:gridCol w:w="891"/>
        <w:gridCol w:w="920"/>
      </w:tblGrid>
      <w:tr w:rsidR="00B132D0" w:rsidRPr="00B132D0" w:rsidTr="00956D92">
        <w:trPr>
          <w:trHeight w:val="25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132D0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132D0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132D0" w:rsidRDefault="00C432F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35342D" wp14:editId="481F6E7A">
                      <wp:simplePos x="0" y="0"/>
                      <wp:positionH relativeFrom="column">
                        <wp:posOffset>1616710</wp:posOffset>
                      </wp:positionH>
                      <wp:positionV relativeFrom="paragraph">
                        <wp:posOffset>-461645</wp:posOffset>
                      </wp:positionV>
                      <wp:extent cx="1235075" cy="217170"/>
                      <wp:effectExtent l="0" t="0" r="3175" b="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5075" cy="217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0F7A" w:rsidRPr="00771A60" w:rsidRDefault="00C10F7A" w:rsidP="00C432F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127.3pt;margin-top:-36.35pt;width:97.25pt;height:1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" stroked="f">
                      <v:textbox>
                        <w:txbxContent>
                          <w:p w:rsidR="00C10F7A" w:rsidRPr="00771A60" w:rsidRDefault="00C10F7A" w:rsidP="00C432F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5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2D0" w:rsidRPr="00B132D0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Таблица № 3 Приложение к муниципальной  программе </w:t>
            </w:r>
            <w:r w:rsidRPr="00B13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Минераловодского муниципального округа</w:t>
            </w:r>
            <w:r w:rsidRPr="00B13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Ставропольского края «Обеспечение безопасности»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132D0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BE0754" w:rsidRPr="00BE0754" w:rsidTr="00956D92">
        <w:trPr>
          <w:trHeight w:val="21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0754" w:rsidRPr="00BE0754" w:rsidTr="00956D92">
        <w:trPr>
          <w:trHeight w:val="18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0754" w:rsidRPr="00BE0754" w:rsidTr="00956D92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16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ОБЪЕМЫ И ИСТОЧНИКИ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4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финансового обеспечения муниципальной программы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Минераловодского муниципального округа Ставропольского края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«Обеспечение безопасности»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D57772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D57772">
        <w:trPr>
          <w:trHeight w:val="26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Наименование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Источники финансового обеспечения по ответственному исполнителю, </w:t>
            </w:r>
          </w:p>
        </w:tc>
        <w:tc>
          <w:tcPr>
            <w:tcW w:w="63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Объемы финансового обеспечения по годам</w:t>
            </w:r>
          </w:p>
        </w:tc>
      </w:tr>
      <w:tr w:rsidR="00BE0754" w:rsidRPr="00BE0754" w:rsidTr="00D57772">
        <w:trPr>
          <w:trHeight w:val="252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Программы,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программы, </w:t>
            </w:r>
          </w:p>
        </w:tc>
        <w:tc>
          <w:tcPr>
            <w:tcW w:w="6371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D57772">
        <w:trPr>
          <w:trHeight w:val="22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подпрограммы программы, </w:t>
            </w:r>
          </w:p>
        </w:tc>
        <w:tc>
          <w:tcPr>
            <w:tcW w:w="545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(тыс. рублей)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7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Программы, основного мероприятия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основному мероприятию подпрограммы программы</w:t>
            </w:r>
          </w:p>
        </w:tc>
        <w:tc>
          <w:tcPr>
            <w:tcW w:w="545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2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подпрограммы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24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Программы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2026</w:t>
            </w:r>
          </w:p>
        </w:tc>
      </w:tr>
      <w:tr w:rsidR="00BE0754" w:rsidRPr="00BE0754" w:rsidTr="00CC0369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1C074F">
        <w:trPr>
          <w:trHeight w:val="4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Муниципальная программа Минераловодского муниципального округа Ставропольского края «Обеспечение безопасности»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43516,83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57115,23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68112,52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51403,09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AE6144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68105,7</w:t>
            </w:r>
            <w:r w:rsidR="001504C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34556,26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34619,0</w:t>
            </w:r>
            <w:r w:rsidR="00A97CC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</w:t>
            </w:r>
          </w:p>
        </w:tc>
      </w:tr>
      <w:tr w:rsidR="00BE0754" w:rsidRPr="00BE0754" w:rsidTr="00CC0369">
        <w:trPr>
          <w:trHeight w:val="13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922,93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23307,40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BE0754" w:rsidRPr="00BE0754" w:rsidTr="00956D92">
        <w:trPr>
          <w:trHeight w:val="1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 Администрации Минераловодского муниципального округа Ставропольского края (далее - ответственному исполнителю)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BE0754" w:rsidRPr="00BE0754" w:rsidTr="00956D92">
        <w:trPr>
          <w:trHeight w:val="2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Управлению образования администрации  Минераловодского муниципального округа Ставропольского края  (далее -Управлению образования)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7 150,07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 бюджета округа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36533,20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49865,16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44805,12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47143,95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AE6144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68005,7</w:t>
            </w:r>
            <w:r w:rsidR="001504C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34456,26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34519,0</w:t>
            </w:r>
            <w:r w:rsidR="00A97CC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</w:t>
            </w:r>
          </w:p>
        </w:tc>
      </w:tr>
      <w:tr w:rsidR="00BE0754" w:rsidRPr="00BE0754" w:rsidTr="00956D92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922,93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22823,16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23616,53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25939,71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28619,17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AE6144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35428,0</w:t>
            </w:r>
            <w:r w:rsidR="001504C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28300,34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28363,08</w:t>
            </w:r>
          </w:p>
        </w:tc>
      </w:tr>
      <w:tr w:rsidR="00BE0754" w:rsidRPr="00BE0754" w:rsidTr="00956D92">
        <w:trPr>
          <w:trHeight w:val="2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т.ч.участнику Программы  МБУ «Управление по чрезвычайным ситуациям Минераловодского муниципального округа Ставропольского края» (далее - МБУ Управление по ЧС ММО)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Финансовому управлению администрации Минераловодского муниципального округа Ставропольского края (далее - Финансовому управлению)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515,64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612,23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620,50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121,50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</w:tr>
      <w:tr w:rsidR="00BE0754" w:rsidRPr="00BE0754" w:rsidTr="00956D92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11304,04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16402,24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9365,41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12219,08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25076,37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84,3</w:t>
            </w:r>
            <w:r w:rsidR="00A97CC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84,31</w:t>
            </w:r>
          </w:p>
        </w:tc>
      </w:tr>
      <w:tr w:rsidR="00BE0754" w:rsidRPr="00BE0754" w:rsidTr="001C074F">
        <w:trPr>
          <w:trHeight w:val="2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922,93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Комитету по культуре администрации Минераловодского муниципального округа Ставропольского края (далее - Комитету по культуре)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1675,77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8962,58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8621,04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5727,49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BE0754" w:rsidRDefault="00AE6144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6911,9</w:t>
            </w:r>
            <w:r w:rsidR="001504C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5776,34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5776,34</w:t>
            </w:r>
          </w:p>
        </w:tc>
      </w:tr>
      <w:tr w:rsidR="00BE0754" w:rsidRPr="00BE0754" w:rsidTr="006B10FA">
        <w:trPr>
          <w:trHeight w:val="4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1C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 по физической культуре и спорту администрации Минераловодского муниципального округа </w:t>
            </w:r>
            <w:r w:rsidR="001C074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Ставро- 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польского края (далее </w:t>
            </w:r>
            <w:r w:rsidR="001C074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–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Комитету</w:t>
            </w:r>
            <w:r w:rsidR="001C074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 физической культуре и спорту)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271,19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258,01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456,27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275,7</w:t>
            </w:r>
            <w:r w:rsidR="001504C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235,2</w:t>
            </w:r>
            <w:r w:rsidR="00A97CC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235,2</w:t>
            </w:r>
            <w:r w:rsidR="00A97CC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</w:tr>
      <w:tr w:rsidR="00BE0754" w:rsidRPr="00BE0754" w:rsidTr="001C074F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1C074F">
        <w:trPr>
          <w:trHeight w:val="2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Управление сельского хозяйства администрации Минераловодского муниципального округа Ставропольского края (далее -Управлению сельского хозяйства)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AE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</w:t>
            </w:r>
            <w:r w:rsidR="00AE61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187,30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«Защита населения от  чрезвычайных ситуаций»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21988,70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22275,23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24348,35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26009,10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BE0754" w:rsidRPr="00BE0754" w:rsidTr="00956D92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BE0754" w:rsidRPr="00BE0754" w:rsidTr="00956D92">
        <w:trPr>
          <w:trHeight w:val="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BE0754" w:rsidRPr="00BE0754" w:rsidTr="00956D92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21988,70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22275,23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24348,35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26009,10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21588,70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26009,10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участнику 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Предупреждение и ликвидация чрезвычайных ситуаций природного и техногенного характера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956,00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1C074F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1C074F">
        <w:trPr>
          <w:trHeight w:val="1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1C074F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Финансовое обеспечение деятельности муниципальных подведомственных учреждений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1C074F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1C074F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участнику Программы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Информирование населения о потенциальных природных и техногенных угрозах на территории проживания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участнику Программы МБУ Управление по ЧС МГО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74F" w:rsidRPr="00BE0754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4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«Межнациональные отношения и поддержка казачества в Минераловодском муниципальном округе Ставропольского края»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муниципальнного округа Ставропольского края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1, </w:t>
            </w:r>
          </w:p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5E6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Поддержка казачьих обществ, осуществляющих свою деятельность на территории Минераловодского муниципального округа Ставропольского края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1C074F">
        <w:trPr>
          <w:trHeight w:val="2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72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</w:p>
          <w:p w:rsidR="001C074F" w:rsidRPr="00BE0754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2,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5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Организационное, методическое и информационное обеспечение межнациональных отношений в Минераловодском муниципальном округе Ставропольского края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«Обеспечение пожарной безопасности»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E6144" w:rsidP="004D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11237,94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837,6</w:t>
            </w:r>
            <w:r w:rsidR="00A97CC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837,62</w:t>
            </w:r>
          </w:p>
        </w:tc>
      </w:tr>
      <w:tr w:rsidR="00BE0754" w:rsidRPr="00BE0754" w:rsidTr="005E6ECD">
        <w:trPr>
          <w:trHeight w:val="1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E6144" w:rsidP="004D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11237,94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837,6</w:t>
            </w:r>
            <w:r w:rsidR="00A97CC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837,62</w:t>
            </w:r>
          </w:p>
        </w:tc>
      </w:tr>
      <w:tr w:rsidR="00BE0754" w:rsidRPr="00BE0754" w:rsidTr="005E6ECD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5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183,50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170,88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50,88</w:t>
            </w:r>
          </w:p>
        </w:tc>
      </w:tr>
      <w:tr w:rsidR="00BE0754" w:rsidRPr="00BE0754" w:rsidTr="005E6ECD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 участнику Программы  МБУ Управление по ЧС МГО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Финансовому управлению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</w:tr>
      <w:tr w:rsidR="00BE0754" w:rsidRPr="00BE0754" w:rsidTr="005E6ECD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5772,28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9837,57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4043,35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5438,26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9532,78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</w:t>
            </w:r>
            <w:r w:rsidR="00A97CC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77,31</w:t>
            </w:r>
          </w:p>
        </w:tc>
      </w:tr>
      <w:tr w:rsidR="00BE0754" w:rsidRPr="00BE0754" w:rsidTr="005E6ECD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Комитету по культуре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1497,61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1382,01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723,79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777,63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1267,34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648,23</w:t>
            </w:r>
          </w:p>
        </w:tc>
      </w:tr>
      <w:tr w:rsidR="00BE0754" w:rsidRPr="00BE0754" w:rsidTr="005E6ECD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сельского хозяйства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Комитету по физической культуре и спорту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87,12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271,38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</w:tr>
      <w:tr w:rsidR="00BE0754" w:rsidRPr="00BE0754" w:rsidTr="005E6ECD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AE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187,3</w:t>
            </w:r>
            <w:r w:rsidR="00AE61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72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</w:t>
            </w:r>
          </w:p>
          <w:p w:rsidR="001C074F" w:rsidRPr="00BE0754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3.1.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пожарной безопасности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E6144" w:rsidP="004D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11237,94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837,6</w:t>
            </w:r>
            <w:r w:rsidR="00A97CC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837,62</w:t>
            </w:r>
          </w:p>
        </w:tc>
      </w:tr>
      <w:tr w:rsidR="00BE0754" w:rsidRPr="00BE0754" w:rsidTr="006B10FA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6B10FA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E6144" w:rsidP="004D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11237,94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837,6</w:t>
            </w:r>
            <w:r w:rsidR="00A97CC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837,62</w:t>
            </w:r>
          </w:p>
        </w:tc>
      </w:tr>
      <w:tr w:rsidR="00BE0754" w:rsidRPr="00BE0754" w:rsidTr="005E6ECD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183,50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170,88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50,88</w:t>
            </w:r>
          </w:p>
        </w:tc>
      </w:tr>
      <w:tr w:rsidR="00BE0754" w:rsidRPr="00BE0754" w:rsidTr="005E6ECD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участнику Программы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</w:tr>
      <w:tr w:rsidR="00BE0754" w:rsidRPr="00BE0754" w:rsidTr="005E6ECD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Управлению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5772,28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9837,57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4043,35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5438,26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9532,78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</w:t>
            </w:r>
            <w:r w:rsidR="00A97CC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77,31</w:t>
            </w:r>
          </w:p>
        </w:tc>
      </w:tr>
      <w:tr w:rsidR="00BE0754" w:rsidRPr="00BE0754" w:rsidTr="005E6ECD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Комитету по культуре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1497,61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1382,01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723,79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777,63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1267,34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648,23</w:t>
            </w:r>
          </w:p>
        </w:tc>
      </w:tr>
      <w:tr w:rsidR="00BE0754" w:rsidRPr="00BE0754" w:rsidTr="005E6ECD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Комитет по физической культуре и спорту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87,12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271,38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сельского хозяйства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E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187,3</w:t>
            </w:r>
            <w:r w:rsidR="00AE61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Противопожарная пропаганда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2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3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«Безопасный Минераловодский муниципальный  округ Ставропольского края»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</w:tr>
      <w:tr w:rsidR="00BE0754" w:rsidRPr="00BE0754" w:rsidTr="005E6ECD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</w:tr>
      <w:tr w:rsidR="00BE0754" w:rsidRPr="00BE0754" w:rsidTr="005E6ECD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BE0754" w:rsidRPr="00BE0754" w:rsidTr="006B10FA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</w:t>
            </w: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т.ч.  участнику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6B10FA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2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Построение, внедрение и развитие аппаратно-программного комплекса «Безопасный город»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BE0754" w:rsidRPr="00BE0754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588.21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BE0754" w:rsidRPr="00BE0754" w:rsidTr="005E6ECD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</w:t>
            </w: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т.ч. участнику Программы  МБУ Управление 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2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Оповещение и правовое информирование при  наличии угроз для безопасности населения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</w:t>
            </w: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т.ч. участнику Программы  МБУ Управление 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«Профилактика терроризма и экстремизма на территории Минераловодского муниципального округа Ставропольского края»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13795,78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23360,55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38733,05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17868,68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E6144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23502,7</w:t>
            </w:r>
            <w:r w:rsidR="001504C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7269,9</w:t>
            </w:r>
            <w:r w:rsidR="00A97CC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7269,9</w:t>
            </w:r>
            <w:r w:rsidR="00A97CC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</w:t>
            </w:r>
          </w:p>
        </w:tc>
      </w:tr>
      <w:tr w:rsidR="00BE0754" w:rsidRPr="00BE0754" w:rsidTr="005E6ECD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23307,40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BE0754" w:rsidRPr="00BE0754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6812,14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16110,48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15425,65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13609,53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E6144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23402,7</w:t>
            </w:r>
            <w:r w:rsidR="001504C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7169,9</w:t>
            </w:r>
            <w:r w:rsidR="00A97CC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7169,9</w:t>
            </w:r>
            <w:r w:rsidR="00A97CC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866,87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1696,65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1723,82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1603,97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1892,0</w:t>
            </w:r>
            <w:r w:rsidR="001504C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1800,74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1800,74</w:t>
            </w:r>
          </w:p>
        </w:tc>
      </w:tr>
      <w:tr w:rsidR="00BE0754" w:rsidRPr="00BE0754" w:rsidTr="005E6ECD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84,53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290,50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42,00</w:t>
            </w:r>
          </w:p>
        </w:tc>
      </w:tr>
      <w:tr w:rsidR="00BE0754" w:rsidRPr="00BE0754" w:rsidTr="006B10FA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6B10FA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5531,76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6564,67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5322,07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6780,81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15543,59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7,00</w:t>
            </w:r>
          </w:p>
        </w:tc>
      </w:tr>
      <w:tr w:rsidR="00BE0754" w:rsidRPr="00BE0754" w:rsidTr="001C074F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6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Комитету по культуре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178,16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7580,56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7897,25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4949,86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E6144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5644,6</w:t>
            </w:r>
            <w:r w:rsidR="001504C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5128,11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5128,11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144,36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232,5</w:t>
            </w:r>
            <w:r w:rsidR="001504C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</w:t>
            </w:r>
            <w:r w:rsidR="00A97CC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</w:t>
            </w:r>
            <w:r w:rsidR="00A97CC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</w:tr>
      <w:tr w:rsidR="00BE0754" w:rsidRPr="00BE0754" w:rsidTr="005E6ECD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72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льгот  (иных мер государственного </w:t>
            </w:r>
          </w:p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4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Создание безопасных условий функционирования объектов муниципальных учреждений, органов местного самоуправления и их структурных подразделений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</w:t>
            </w:r>
            <w:r w:rsidR="00D5777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ского муниципального округа Ста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вропольского  края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E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</w:t>
            </w:r>
            <w:r w:rsidR="00AE61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</w:tr>
      <w:tr w:rsidR="00BE0754" w:rsidRPr="00BE0754" w:rsidTr="005E6ECD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BE0754" w:rsidRPr="00BE0754" w:rsidTr="005E6ECD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BE0754" w:rsidRPr="00BE0754" w:rsidTr="005E6ECD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E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</w:t>
            </w:r>
            <w:r w:rsidR="00AE61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E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</w:t>
            </w:r>
            <w:r w:rsidR="00AE61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72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льгот  (иных мер государственного </w:t>
            </w:r>
          </w:p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 антитеррористической безопасности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13690,66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23255,28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38627,79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17763,42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E6144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23397,</w:t>
            </w:r>
            <w:r w:rsidR="001504C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7164,6</w:t>
            </w:r>
            <w:r w:rsidR="00A97CC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7164,6</w:t>
            </w:r>
            <w:r w:rsidR="00A97CC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</w:tr>
      <w:tr w:rsidR="00BE0754" w:rsidRPr="00BE0754" w:rsidTr="005E6ECD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 года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6807,02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16105,21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15420,39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13604,27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E6144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23397,</w:t>
            </w:r>
            <w:r w:rsidR="001504C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7164,6</w:t>
            </w:r>
            <w:r w:rsidR="00A97CC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7164,6</w:t>
            </w:r>
            <w:r w:rsidR="00A97CC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</w:tr>
      <w:tr w:rsidR="00BE0754" w:rsidRPr="00BE0754" w:rsidTr="005E6ECD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861,61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1691,39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1718,56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1598,71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1886,</w:t>
            </w:r>
            <w:r w:rsidR="001504C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1795,48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1795,48</w:t>
            </w:r>
          </w:p>
        </w:tc>
      </w:tr>
      <w:tr w:rsidR="00BE0754" w:rsidRPr="00BE0754" w:rsidTr="005E6ECD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290,50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42,00</w:t>
            </w:r>
          </w:p>
        </w:tc>
      </w:tr>
      <w:tr w:rsidR="00BE0754" w:rsidRPr="00BE0754" w:rsidTr="005E6ECD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5531,76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6564,67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5322,07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6780,81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15543,59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7,00</w:t>
            </w:r>
          </w:p>
        </w:tc>
      </w:tr>
      <w:tr w:rsidR="00BE0754" w:rsidRPr="00BE0754" w:rsidTr="005E6ECD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Комитету по культуре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178,16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7580,56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7897,25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4949,86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E6144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5644,6</w:t>
            </w:r>
            <w:r w:rsidR="001504C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5128,11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5128,11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144,50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232,5</w:t>
            </w:r>
            <w:r w:rsidR="001504C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</w:t>
            </w:r>
            <w:r w:rsidR="00A97CC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97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</w:t>
            </w:r>
            <w:r w:rsidR="00A97CC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</w:tr>
      <w:tr w:rsidR="00BE0754" w:rsidRPr="00BE0754" w:rsidTr="006B10FA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6B10FA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6B10FA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421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«Профилактика незаконного  потребления   и оборота наркотиков»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6.1.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1,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1C074F">
        <w:trPr>
          <w:trHeight w:val="3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Информационно-пропагандистское обеспечение профилактики незаконного потребления и оборота наркотиков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6.2.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6B10FA">
        <w:trPr>
          <w:trHeight w:val="2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Противодействие распространению дикорастущих наркосодержащих растений, пропаганде и рекламе незаконного потребления наркотических средств и психотропных веществ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6B10FA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6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6.3.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Формирование у населения Минераловодского муниципального округа Ставропольского края установок на ведение здорового образа жизни и нетерпимого отношения к наркомании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6.4.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7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и раннее выявление незаконного потребления наркотиков (организация социально-психологического тестирования в образовательных организациях муниципального образования, скрининговых обследований обучающихся)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6.5.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5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6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взаимодействия субъектов профилактики в сфере антинаркотической деятельности (проведение межведомственных оперативно-профилактических операций, акций, рейдов)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 округа Ставропольского края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«Профилактика правонарушений в Минераловодском муниципальном округе  Ставропольского края»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95,34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60,00</w:t>
            </w:r>
          </w:p>
        </w:tc>
      </w:tr>
      <w:tr w:rsidR="00BE0754" w:rsidRPr="00BE0754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6B10FA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6B10FA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95,34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60,00</w:t>
            </w:r>
          </w:p>
        </w:tc>
      </w:tr>
      <w:tr w:rsidR="00BE0754" w:rsidRPr="00BE0754" w:rsidTr="00CC0369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95,34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</w:tr>
      <w:tr w:rsidR="00BE0754" w:rsidRPr="00BE0754" w:rsidTr="00CC0369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10F7A">
        <w:trPr>
          <w:trHeight w:val="57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безопасности населения Минераловодского муниципального округа Ставропольского края при проведении массовых мероприятий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711C6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711C6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BE0754" w:rsidRPr="00BE0754" w:rsidTr="00CC0369">
        <w:trPr>
          <w:trHeight w:val="4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711C6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711C6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CC0369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711C6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711C6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10F7A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72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</w:p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10F7A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10F7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уличной преступности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8047B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6B10F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8047B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6B10F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421936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8047B9" w:rsidP="008B4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6B10F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8047B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6B10F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BE0754" w:rsidRPr="00BE0754" w:rsidTr="00CC0369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421936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8047B9" w:rsidP="00804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6B10F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8047B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6B10F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BE0754" w:rsidRPr="00BE0754" w:rsidTr="00CC0369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2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7.3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F7A" w:rsidRPr="00421936" w:rsidRDefault="00C10F7A" w:rsidP="00C10F7A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0F7A" w:rsidRPr="00BE0754" w:rsidTr="00C10F7A">
        <w:trPr>
          <w:trHeight w:val="24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рецидивной преступности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A91DE7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  <w:r w:rsidR="00C10F7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8047B9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8047B9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C10F7A" w:rsidRPr="00BE0754" w:rsidTr="00C10F7A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C10F7A" w:rsidRPr="00BE0754" w:rsidTr="00C10F7A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F7A" w:rsidRPr="00421936" w:rsidRDefault="00C10F7A" w:rsidP="00C10F7A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0F7A" w:rsidRPr="00BE0754" w:rsidTr="00C10F7A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A91DE7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D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  <w:r w:rsidR="00C10F7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8047B9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8047B9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C10F7A" w:rsidRPr="00BE0754" w:rsidTr="00C10F7A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F7A" w:rsidRPr="00421936" w:rsidRDefault="00C10F7A" w:rsidP="00C10F7A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0F7A" w:rsidRPr="00BE0754" w:rsidTr="00C10F7A">
        <w:trPr>
          <w:trHeight w:val="1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A91DE7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  <w:r w:rsidR="00C10F7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8047B9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8047B9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C10F7A" w:rsidRPr="00BE0754" w:rsidTr="00C10F7A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7.4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F7A" w:rsidRPr="00421936" w:rsidRDefault="00C10F7A" w:rsidP="00C10F7A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0F7A" w:rsidRPr="00BE0754" w:rsidTr="00CC0369">
        <w:trPr>
          <w:trHeight w:val="2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различных видов мошенничества, в том числе с применением средств технической коммуникации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C10F7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6711C6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6711C6" w:rsidP="00804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F7A" w:rsidRPr="00421936" w:rsidRDefault="00C10F7A" w:rsidP="00C10F7A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0F7A" w:rsidRPr="00BE0754" w:rsidTr="00C10F7A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6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C10F7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6711C6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6711C6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F7A" w:rsidRPr="00421936" w:rsidRDefault="00C10F7A" w:rsidP="00C10F7A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0F7A" w:rsidRPr="00BE0754" w:rsidTr="00C10F7A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C10F7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6711C6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6711C6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7.5</w:t>
            </w:r>
            <w:r w:rsidR="00C10F7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0F7A" w:rsidRPr="00BE0754" w:rsidTr="001C074F">
        <w:trPr>
          <w:trHeight w:val="7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Содействие в социальной адаптации – ресоциализации лиц, отбывших уголовное наказание в виде лишения свободы, в том числе несовершеннолетних, вернувшихся из воспитательных колоний и специальных учебно-воспитательных учреждений закрытого типа.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0F7A" w:rsidRPr="00BE0754" w:rsidTr="00CC0369">
        <w:trPr>
          <w:trHeight w:val="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11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D8757F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D8757F">
        <w:trPr>
          <w:trHeight w:val="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D8757F">
        <w:trPr>
          <w:trHeight w:val="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D8757F" w:rsidRPr="00BE0754" w:rsidTr="00D8757F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D8757F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7.6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8757F" w:rsidRPr="00BE0754" w:rsidTr="00CC0369">
        <w:trPr>
          <w:trHeight w:val="8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Организация и проведение межведомственных профилактических мероприятий с семьями, находящимися в социально опасном положении и с несовершеннолетними, состоящими на профилактическом учете в органах системы профилактики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 округа Ставропольского края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8757F" w:rsidRPr="00BE0754" w:rsidTr="00CC0369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2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2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D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8757F" w:rsidRPr="00BE0754" w:rsidTr="00CC0369">
        <w:trPr>
          <w:trHeight w:val="2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правонарушений, совершаемых лицами в состоянии алкогольного опьянения и в отношении их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8047B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  <w:r w:rsidR="00D8757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8047B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  <w:r w:rsidR="00D8757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8757F" w:rsidRPr="00BE0754" w:rsidTr="00CC0369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8047B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  <w:r w:rsidR="00D8757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8047B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  <w:r w:rsidR="00D8757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8047B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20,</w:t>
            </w:r>
            <w:r w:rsidR="00D8757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8047B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  <w:r w:rsidR="00D8757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8047B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  <w:r w:rsidR="00D8757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1C074F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1C074F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7.8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Default="00D8757F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  <w:p w:rsidR="00D8757F" w:rsidRPr="00BE0754" w:rsidRDefault="00D8757F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8757F" w:rsidRPr="00BE0754" w:rsidTr="00CC0369">
        <w:trPr>
          <w:trHeight w:val="5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Оказание содействия заинтересованным организациям различных форм собственности в создании участков  исправительного  центра  для  обеспечения  исполнения  наказаний в  виде принудительных работ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8757F" w:rsidRPr="00BE0754" w:rsidTr="00CC0369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D8757F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D8757F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DC7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D8757F" w:rsidRPr="00BE0754" w:rsidTr="00D8757F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D8757F">
        <w:trPr>
          <w:trHeight w:val="19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</w:tbl>
    <w:p w:rsidR="00E95F3D" w:rsidRPr="00BE0754" w:rsidRDefault="00E95F3D"/>
    <w:sectPr w:rsidR="00E95F3D" w:rsidRPr="00BE0754" w:rsidSect="006B10FA">
      <w:headerReference w:type="default" r:id="rId8"/>
      <w:pgSz w:w="16838" w:h="11906" w:orient="landscape"/>
      <w:pgMar w:top="685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F7A" w:rsidRDefault="00C10F7A" w:rsidP="001C074F">
      <w:pPr>
        <w:spacing w:after="0" w:line="240" w:lineRule="auto"/>
      </w:pPr>
      <w:r>
        <w:separator/>
      </w:r>
    </w:p>
  </w:endnote>
  <w:endnote w:type="continuationSeparator" w:id="0">
    <w:p w:rsidR="00C10F7A" w:rsidRDefault="00C10F7A" w:rsidP="001C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F7A" w:rsidRDefault="00C10F7A" w:rsidP="001C074F">
      <w:pPr>
        <w:spacing w:after="0" w:line="240" w:lineRule="auto"/>
      </w:pPr>
      <w:r>
        <w:separator/>
      </w:r>
    </w:p>
  </w:footnote>
  <w:footnote w:type="continuationSeparator" w:id="0">
    <w:p w:rsidR="00C10F7A" w:rsidRDefault="00C10F7A" w:rsidP="001C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50789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C10F7A" w:rsidRPr="006B10FA" w:rsidRDefault="00C10F7A">
        <w:pPr>
          <w:pStyle w:val="a3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6B10FA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6B10FA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515C68">
          <w:rPr>
            <w:rFonts w:ascii="Times New Roman" w:hAnsi="Times New Roman" w:cs="Times New Roman"/>
            <w:noProof/>
            <w:sz w:val="16"/>
            <w:szCs w:val="16"/>
          </w:rPr>
          <w:t>1</w: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C10F7A" w:rsidRDefault="00C10F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249"/>
    <w:rsid w:val="001504CE"/>
    <w:rsid w:val="001C074F"/>
    <w:rsid w:val="00295FDB"/>
    <w:rsid w:val="00421936"/>
    <w:rsid w:val="00482821"/>
    <w:rsid w:val="004D5B52"/>
    <w:rsid w:val="00515C68"/>
    <w:rsid w:val="005E6ECD"/>
    <w:rsid w:val="00601455"/>
    <w:rsid w:val="00636549"/>
    <w:rsid w:val="006711C6"/>
    <w:rsid w:val="006B10FA"/>
    <w:rsid w:val="008047B9"/>
    <w:rsid w:val="008B42CE"/>
    <w:rsid w:val="00956D92"/>
    <w:rsid w:val="00A54665"/>
    <w:rsid w:val="00A91DE7"/>
    <w:rsid w:val="00A97CC5"/>
    <w:rsid w:val="00AC0904"/>
    <w:rsid w:val="00AE6144"/>
    <w:rsid w:val="00B132D0"/>
    <w:rsid w:val="00B630B5"/>
    <w:rsid w:val="00B9500F"/>
    <w:rsid w:val="00BE0754"/>
    <w:rsid w:val="00C10F7A"/>
    <w:rsid w:val="00C432F9"/>
    <w:rsid w:val="00C61249"/>
    <w:rsid w:val="00CC0369"/>
    <w:rsid w:val="00D57772"/>
    <w:rsid w:val="00D76BB4"/>
    <w:rsid w:val="00D8757F"/>
    <w:rsid w:val="00DB3CCF"/>
    <w:rsid w:val="00E61AB4"/>
    <w:rsid w:val="00E67EEC"/>
    <w:rsid w:val="00E95F3D"/>
    <w:rsid w:val="00EF7388"/>
    <w:rsid w:val="00FD46BA"/>
    <w:rsid w:val="00FF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74F"/>
  </w:style>
  <w:style w:type="paragraph" w:styleId="a5">
    <w:name w:val="footer"/>
    <w:basedOn w:val="a"/>
    <w:link w:val="a6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74F"/>
  </w:style>
  <w:style w:type="paragraph" w:styleId="a7">
    <w:name w:val="Balloon Text"/>
    <w:basedOn w:val="a"/>
    <w:link w:val="a8"/>
    <w:uiPriority w:val="99"/>
    <w:semiHidden/>
    <w:unhideWhenUsed/>
    <w:rsid w:val="0048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74F"/>
  </w:style>
  <w:style w:type="paragraph" w:styleId="a5">
    <w:name w:val="footer"/>
    <w:basedOn w:val="a"/>
    <w:link w:val="a6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74F"/>
  </w:style>
  <w:style w:type="paragraph" w:styleId="a7">
    <w:name w:val="Balloon Text"/>
    <w:basedOn w:val="a"/>
    <w:link w:val="a8"/>
    <w:uiPriority w:val="99"/>
    <w:semiHidden/>
    <w:unhideWhenUsed/>
    <w:rsid w:val="0048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9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76FDF-E2B9-458A-9951-163B96CF5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7453</Words>
  <Characters>42484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2024-07-29T06:26:00Z</cp:lastPrinted>
  <dcterms:created xsi:type="dcterms:W3CDTF">2025-05-06T12:53:00Z</dcterms:created>
  <dcterms:modified xsi:type="dcterms:W3CDTF">2025-05-06T12:53:00Z</dcterms:modified>
</cp:coreProperties>
</file>