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B7424" w:rsidRPr="00D92486" w:rsidTr="008F7F1D">
        <w:tc>
          <w:tcPr>
            <w:tcW w:w="5245" w:type="dxa"/>
          </w:tcPr>
          <w:p w:rsidR="005B7424" w:rsidRPr="00D92486" w:rsidRDefault="004E29F8" w:rsidP="005B7424">
            <w:pPr>
              <w:rPr>
                <w:rFonts w:ascii="Times New Roman" w:hAnsi="Times New Roman"/>
                <w:sz w:val="28"/>
                <w:szCs w:val="28"/>
              </w:rPr>
            </w:pPr>
            <w:r w:rsidRPr="00D9248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E29F8" w:rsidRPr="00D92486" w:rsidRDefault="004371F6" w:rsidP="00EE0F70">
            <w:pPr>
              <w:rPr>
                <w:rFonts w:ascii="Times New Roman" w:hAnsi="Times New Roman"/>
                <w:sz w:val="28"/>
                <w:szCs w:val="28"/>
              </w:rPr>
            </w:pPr>
            <w:r w:rsidRPr="00D92486">
              <w:rPr>
                <w:rFonts w:ascii="Times New Roman" w:hAnsi="Times New Roman"/>
                <w:sz w:val="28"/>
                <w:szCs w:val="28"/>
              </w:rPr>
              <w:t>к мониторингу реализации прогноза социально</w:t>
            </w:r>
            <w:r w:rsidR="00D14E09" w:rsidRPr="00D9248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92486">
              <w:rPr>
                <w:rFonts w:ascii="Times New Roman" w:hAnsi="Times New Roman"/>
                <w:sz w:val="28"/>
                <w:szCs w:val="28"/>
              </w:rPr>
              <w:t xml:space="preserve">экономического развития Минераловодского </w:t>
            </w:r>
            <w:r w:rsidR="00EE0F70" w:rsidRPr="00232AE2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EE0F70" w:rsidRPr="00832C92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="00EE0F70" w:rsidRPr="00D924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1AAF" w:rsidRPr="00D92486">
              <w:rPr>
                <w:rFonts w:ascii="Times New Roman" w:hAnsi="Times New Roman"/>
                <w:sz w:val="28"/>
                <w:szCs w:val="28"/>
              </w:rPr>
              <w:t>на среднесрочный период за 20</w:t>
            </w:r>
            <w:r w:rsidR="00CB4675" w:rsidRPr="00D92486">
              <w:rPr>
                <w:rFonts w:ascii="Times New Roman" w:hAnsi="Times New Roman"/>
                <w:sz w:val="28"/>
                <w:szCs w:val="28"/>
              </w:rPr>
              <w:t>2</w:t>
            </w:r>
            <w:r w:rsidR="00EE0F70">
              <w:rPr>
                <w:rFonts w:ascii="Times New Roman" w:hAnsi="Times New Roman"/>
                <w:sz w:val="28"/>
                <w:szCs w:val="28"/>
              </w:rPr>
              <w:t>3</w:t>
            </w:r>
            <w:r w:rsidRPr="00D92486">
              <w:rPr>
                <w:rFonts w:ascii="Times New Roman" w:hAnsi="Times New Roman"/>
                <w:sz w:val="28"/>
                <w:szCs w:val="28"/>
              </w:rPr>
              <w:t xml:space="preserve"> год  </w:t>
            </w:r>
          </w:p>
        </w:tc>
      </w:tr>
    </w:tbl>
    <w:p w:rsidR="005B7424" w:rsidRPr="00D92486" w:rsidRDefault="005B7424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424" w:rsidRPr="00D92486" w:rsidRDefault="005B7424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424" w:rsidRPr="00D92486" w:rsidRDefault="005B7424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29F8" w:rsidRPr="00D92486" w:rsidRDefault="004E29F8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 w:cs="Times New Roman"/>
          <w:sz w:val="28"/>
          <w:szCs w:val="28"/>
        </w:rPr>
        <w:t>РЕЗУЛЬТАТЫ</w:t>
      </w:r>
      <w:r w:rsidR="004371F6" w:rsidRPr="00D92486">
        <w:rPr>
          <w:rFonts w:ascii="Times New Roman" w:hAnsi="Times New Roman" w:cs="Times New Roman"/>
          <w:sz w:val="28"/>
          <w:szCs w:val="28"/>
        </w:rPr>
        <w:t xml:space="preserve"> МОНИТОРИНГА</w:t>
      </w:r>
    </w:p>
    <w:p w:rsidR="002E0350" w:rsidRPr="00D92486" w:rsidRDefault="002E0350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 w:cs="Times New Roman"/>
          <w:sz w:val="28"/>
          <w:szCs w:val="28"/>
        </w:rPr>
        <w:t xml:space="preserve"> </w:t>
      </w:r>
      <w:r w:rsidR="004E29F8" w:rsidRPr="00D92486">
        <w:rPr>
          <w:rFonts w:ascii="Times New Roman" w:hAnsi="Times New Roman" w:cs="Times New Roman"/>
          <w:sz w:val="28"/>
          <w:szCs w:val="28"/>
        </w:rPr>
        <w:t xml:space="preserve"> </w:t>
      </w:r>
      <w:r w:rsidRPr="00D92486">
        <w:rPr>
          <w:rFonts w:ascii="Times New Roman" w:hAnsi="Times New Roman" w:cs="Times New Roman"/>
          <w:sz w:val="28"/>
          <w:szCs w:val="28"/>
        </w:rPr>
        <w:t>выполнения основных показателей прогноза социально</w:t>
      </w:r>
      <w:r w:rsidR="00D14E09" w:rsidRPr="00D92486">
        <w:rPr>
          <w:rFonts w:ascii="Times New Roman" w:hAnsi="Times New Roman" w:cs="Times New Roman"/>
          <w:sz w:val="28"/>
          <w:szCs w:val="28"/>
        </w:rPr>
        <w:t xml:space="preserve"> – </w:t>
      </w:r>
      <w:r w:rsidRPr="00D92486">
        <w:rPr>
          <w:rFonts w:ascii="Times New Roman" w:hAnsi="Times New Roman" w:cs="Times New Roman"/>
          <w:sz w:val="28"/>
          <w:szCs w:val="28"/>
        </w:rPr>
        <w:t xml:space="preserve">экономического развития Минераловодского </w:t>
      </w:r>
      <w:r w:rsidR="00BC514F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C514F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2E0350" w:rsidRDefault="002E0350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5B1F" w:rsidRPr="00D92486" w:rsidRDefault="00045B1F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FE4" w:rsidRPr="00D92486" w:rsidRDefault="00FC4DE0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 w:cs="Times New Roman"/>
          <w:sz w:val="28"/>
          <w:szCs w:val="28"/>
        </w:rPr>
        <w:t xml:space="preserve">Мониторинг выполнения основных показателей прогноза социально-экономического развития </w:t>
      </w:r>
      <w:r w:rsidR="003C3658" w:rsidRPr="00D92486">
        <w:rPr>
          <w:rFonts w:ascii="Times New Roman" w:hAnsi="Times New Roman" w:cs="Times New Roman"/>
          <w:sz w:val="28"/>
          <w:szCs w:val="28"/>
        </w:rPr>
        <w:t>на среднесрочный период за 20</w:t>
      </w:r>
      <w:r w:rsidR="00AA3782" w:rsidRPr="00D92486">
        <w:rPr>
          <w:rFonts w:ascii="Times New Roman" w:hAnsi="Times New Roman" w:cs="Times New Roman"/>
          <w:sz w:val="28"/>
          <w:szCs w:val="28"/>
        </w:rPr>
        <w:t>2</w:t>
      </w:r>
      <w:r w:rsidR="00BC514F">
        <w:rPr>
          <w:rFonts w:ascii="Times New Roman" w:hAnsi="Times New Roman" w:cs="Times New Roman"/>
          <w:sz w:val="28"/>
          <w:szCs w:val="28"/>
        </w:rPr>
        <w:t>3</w:t>
      </w:r>
      <w:r w:rsidR="002469F7" w:rsidRPr="00D92486">
        <w:rPr>
          <w:rFonts w:ascii="Times New Roman" w:hAnsi="Times New Roman" w:cs="Times New Roman"/>
          <w:sz w:val="28"/>
          <w:szCs w:val="28"/>
        </w:rPr>
        <w:t xml:space="preserve"> год (далее мониторинг) </w:t>
      </w:r>
      <w:r w:rsidRPr="00D92486">
        <w:rPr>
          <w:rFonts w:ascii="Times New Roman" w:hAnsi="Times New Roman" w:cs="Times New Roman"/>
          <w:sz w:val="28"/>
          <w:szCs w:val="28"/>
        </w:rPr>
        <w:t>осуществляется в целях повышения качества прогнозирования, выработки приоритетов социально</w:t>
      </w:r>
      <w:r w:rsidR="00D14E09" w:rsidRPr="00D92486">
        <w:rPr>
          <w:rFonts w:ascii="Times New Roman" w:hAnsi="Times New Roman" w:cs="Times New Roman"/>
          <w:sz w:val="28"/>
          <w:szCs w:val="28"/>
        </w:rPr>
        <w:t xml:space="preserve"> – </w:t>
      </w:r>
      <w:r w:rsidRPr="00D92486">
        <w:rPr>
          <w:rFonts w:ascii="Times New Roman" w:hAnsi="Times New Roman" w:cs="Times New Roman"/>
          <w:sz w:val="28"/>
          <w:szCs w:val="28"/>
        </w:rPr>
        <w:t>экономической политики, повышения эффективности управления на муниципальном уровне.</w:t>
      </w:r>
      <w:r w:rsidR="004771E9" w:rsidRPr="00D92486">
        <w:rPr>
          <w:rFonts w:ascii="Times New Roman" w:hAnsi="Times New Roman" w:cs="Times New Roman"/>
          <w:sz w:val="28"/>
          <w:szCs w:val="28"/>
        </w:rPr>
        <w:t xml:space="preserve"> Мониторинг включает в себя выполнение основных показателей прогноза социально – экономического развития, разработанных </w:t>
      </w:r>
      <w:r w:rsidR="008C72B9" w:rsidRPr="00D92486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подразделениями, функциональными (отраслевыми) органами администрации Минераловодского </w:t>
      </w:r>
      <w:r w:rsidR="00BC514F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C514F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C72B9" w:rsidRPr="00D92486">
        <w:rPr>
          <w:rFonts w:ascii="Times New Roman" w:hAnsi="Times New Roman" w:cs="Times New Roman"/>
          <w:sz w:val="28"/>
          <w:szCs w:val="28"/>
        </w:rPr>
        <w:t xml:space="preserve">, являющимися субъектами прогнозирования социально-экономического развития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C72B9" w:rsidRPr="00D92486">
        <w:rPr>
          <w:rFonts w:ascii="Times New Roman" w:hAnsi="Times New Roman" w:cs="Times New Roman"/>
          <w:sz w:val="28"/>
          <w:szCs w:val="28"/>
        </w:rPr>
        <w:t>.</w:t>
      </w:r>
    </w:p>
    <w:p w:rsidR="00B70219" w:rsidRPr="007718B2" w:rsidRDefault="00B70219" w:rsidP="00B70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8B2">
        <w:rPr>
          <w:rFonts w:ascii="Times New Roman" w:hAnsi="Times New Roman" w:cs="Times New Roman"/>
          <w:sz w:val="28"/>
          <w:szCs w:val="28"/>
        </w:rPr>
        <w:t>Прогноз основных показателей социально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 – </w:t>
      </w:r>
      <w:r w:rsidRPr="007718B2">
        <w:rPr>
          <w:rFonts w:ascii="Times New Roman" w:hAnsi="Times New Roman" w:cs="Times New Roman"/>
          <w:sz w:val="28"/>
          <w:szCs w:val="28"/>
        </w:rPr>
        <w:t xml:space="preserve">экономического развития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071B9" w:rsidRPr="007718B2">
        <w:rPr>
          <w:rFonts w:ascii="Times New Roman" w:hAnsi="Times New Roman" w:cs="Times New Roman"/>
          <w:sz w:val="28"/>
          <w:szCs w:val="28"/>
        </w:rPr>
        <w:t xml:space="preserve"> </w:t>
      </w:r>
      <w:r w:rsidRPr="007718B2">
        <w:rPr>
          <w:rFonts w:ascii="Times New Roman" w:hAnsi="Times New Roman" w:cs="Times New Roman"/>
          <w:sz w:val="28"/>
          <w:szCs w:val="28"/>
        </w:rPr>
        <w:t xml:space="preserve">был разработан на основе анализа 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7718B2">
        <w:rPr>
          <w:rFonts w:ascii="Times New Roman" w:hAnsi="Times New Roman" w:cs="Times New Roman"/>
          <w:sz w:val="28"/>
          <w:szCs w:val="28"/>
        </w:rPr>
        <w:t xml:space="preserve">положения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718B2">
        <w:rPr>
          <w:rFonts w:ascii="Times New Roman" w:hAnsi="Times New Roman" w:cs="Times New Roman"/>
          <w:sz w:val="28"/>
          <w:szCs w:val="28"/>
        </w:rPr>
        <w:t>, стат</w:t>
      </w:r>
      <w:r w:rsidR="00327191" w:rsidRPr="007718B2">
        <w:rPr>
          <w:rFonts w:ascii="Times New Roman" w:hAnsi="Times New Roman" w:cs="Times New Roman"/>
          <w:sz w:val="28"/>
          <w:szCs w:val="28"/>
        </w:rPr>
        <w:t>истич</w:t>
      </w:r>
      <w:r w:rsidR="00BF22FC" w:rsidRPr="007718B2">
        <w:rPr>
          <w:rFonts w:ascii="Times New Roman" w:hAnsi="Times New Roman" w:cs="Times New Roman"/>
          <w:sz w:val="28"/>
          <w:szCs w:val="28"/>
        </w:rPr>
        <w:t xml:space="preserve">еских данных за </w:t>
      </w:r>
      <w:r w:rsidR="003049CF" w:rsidRPr="007718B2">
        <w:rPr>
          <w:rFonts w:ascii="Times New Roman" w:hAnsi="Times New Roman" w:cs="Times New Roman"/>
          <w:sz w:val="28"/>
          <w:szCs w:val="28"/>
        </w:rPr>
        <w:t>20</w:t>
      </w:r>
      <w:r w:rsidR="00EF0F88" w:rsidRPr="007718B2">
        <w:rPr>
          <w:rFonts w:ascii="Times New Roman" w:hAnsi="Times New Roman" w:cs="Times New Roman"/>
          <w:sz w:val="28"/>
          <w:szCs w:val="28"/>
        </w:rPr>
        <w:t>2</w:t>
      </w:r>
      <w:r w:rsidR="001071B9">
        <w:rPr>
          <w:rFonts w:ascii="Times New Roman" w:hAnsi="Times New Roman" w:cs="Times New Roman"/>
          <w:sz w:val="28"/>
          <w:szCs w:val="28"/>
        </w:rPr>
        <w:t>2</w:t>
      </w:r>
      <w:r w:rsidRPr="007718B2">
        <w:rPr>
          <w:rFonts w:ascii="Times New Roman" w:hAnsi="Times New Roman" w:cs="Times New Roman"/>
          <w:sz w:val="28"/>
          <w:szCs w:val="28"/>
        </w:rPr>
        <w:t xml:space="preserve"> г</w:t>
      </w:r>
      <w:r w:rsidR="00904C5A" w:rsidRPr="007718B2">
        <w:rPr>
          <w:rFonts w:ascii="Times New Roman" w:hAnsi="Times New Roman" w:cs="Times New Roman"/>
          <w:sz w:val="28"/>
          <w:szCs w:val="28"/>
        </w:rPr>
        <w:t>од</w:t>
      </w:r>
      <w:r w:rsidRPr="007718B2">
        <w:rPr>
          <w:rFonts w:ascii="Times New Roman" w:hAnsi="Times New Roman" w:cs="Times New Roman"/>
          <w:sz w:val="28"/>
          <w:szCs w:val="28"/>
        </w:rPr>
        <w:t xml:space="preserve">, </w:t>
      </w:r>
      <w:r w:rsidR="00327191" w:rsidRPr="007718B2">
        <w:rPr>
          <w:rFonts w:ascii="Times New Roman" w:hAnsi="Times New Roman" w:cs="Times New Roman"/>
          <w:sz w:val="28"/>
          <w:szCs w:val="28"/>
        </w:rPr>
        <w:t>ожидаемых показателей за 20</w:t>
      </w:r>
      <w:r w:rsidR="00AA3782" w:rsidRPr="007718B2">
        <w:rPr>
          <w:rFonts w:ascii="Times New Roman" w:hAnsi="Times New Roman" w:cs="Times New Roman"/>
          <w:sz w:val="28"/>
          <w:szCs w:val="28"/>
        </w:rPr>
        <w:t>2</w:t>
      </w:r>
      <w:r w:rsidR="001071B9">
        <w:rPr>
          <w:rFonts w:ascii="Times New Roman" w:hAnsi="Times New Roman" w:cs="Times New Roman"/>
          <w:sz w:val="28"/>
          <w:szCs w:val="28"/>
        </w:rPr>
        <w:t>3</w:t>
      </w:r>
      <w:r w:rsidRPr="007718B2">
        <w:rPr>
          <w:rFonts w:ascii="Times New Roman" w:hAnsi="Times New Roman" w:cs="Times New Roman"/>
          <w:sz w:val="28"/>
          <w:szCs w:val="28"/>
        </w:rPr>
        <w:t xml:space="preserve"> год. При разработке прогноза учитывались рекомендации Министерства экономического развития Ставропольского края, были применены прогнозные показатели инфляции и индексы –</w:t>
      </w:r>
      <w:r w:rsidR="00AC6B4D" w:rsidRPr="007718B2">
        <w:rPr>
          <w:rFonts w:ascii="Times New Roman" w:hAnsi="Times New Roman" w:cs="Times New Roman"/>
          <w:sz w:val="28"/>
          <w:szCs w:val="28"/>
        </w:rPr>
        <w:t xml:space="preserve"> </w:t>
      </w:r>
      <w:r w:rsidRPr="007718B2">
        <w:rPr>
          <w:rFonts w:ascii="Times New Roman" w:hAnsi="Times New Roman" w:cs="Times New Roman"/>
          <w:sz w:val="28"/>
          <w:szCs w:val="28"/>
        </w:rPr>
        <w:t xml:space="preserve">дефляторы. 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FE4" w:rsidRPr="007718B2" w:rsidRDefault="0076163C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8B2">
        <w:rPr>
          <w:rFonts w:ascii="Times New Roman" w:hAnsi="Times New Roman" w:cs="Times New Roman"/>
          <w:sz w:val="28"/>
          <w:szCs w:val="28"/>
        </w:rPr>
        <w:t xml:space="preserve">Мониторинг проводится в соответствии с </w:t>
      </w:r>
      <w:r w:rsidR="00AC6B4D" w:rsidRPr="007718B2">
        <w:rPr>
          <w:rFonts w:ascii="Times New Roman" w:hAnsi="Times New Roman"/>
          <w:sz w:val="28"/>
          <w:szCs w:val="28"/>
        </w:rPr>
        <w:t>п</w:t>
      </w:r>
      <w:r w:rsidR="00572345">
        <w:rPr>
          <w:rFonts w:ascii="Times New Roman" w:hAnsi="Times New Roman"/>
          <w:sz w:val="28"/>
          <w:szCs w:val="28"/>
        </w:rPr>
        <w:t>унктом</w:t>
      </w:r>
      <w:r w:rsidR="004E29F8" w:rsidRPr="007718B2">
        <w:rPr>
          <w:rFonts w:ascii="Times New Roman" w:hAnsi="Times New Roman"/>
          <w:sz w:val="28"/>
          <w:szCs w:val="28"/>
        </w:rPr>
        <w:t xml:space="preserve"> </w:t>
      </w:r>
      <w:r w:rsidR="00AC6B4D" w:rsidRPr="007718B2">
        <w:rPr>
          <w:rFonts w:ascii="Times New Roman" w:hAnsi="Times New Roman"/>
          <w:sz w:val="28"/>
          <w:szCs w:val="28"/>
        </w:rPr>
        <w:t>3 ст</w:t>
      </w:r>
      <w:r w:rsidR="00572345">
        <w:rPr>
          <w:rFonts w:ascii="Times New Roman" w:hAnsi="Times New Roman"/>
          <w:sz w:val="28"/>
          <w:szCs w:val="28"/>
        </w:rPr>
        <w:t>атьи</w:t>
      </w:r>
      <w:r w:rsidR="004E29F8" w:rsidRPr="007718B2">
        <w:rPr>
          <w:rFonts w:ascii="Times New Roman" w:hAnsi="Times New Roman"/>
          <w:sz w:val="28"/>
          <w:szCs w:val="28"/>
        </w:rPr>
        <w:t xml:space="preserve"> </w:t>
      </w:r>
      <w:r w:rsidR="00AC6B4D" w:rsidRPr="007718B2">
        <w:rPr>
          <w:rFonts w:ascii="Times New Roman" w:hAnsi="Times New Roman"/>
          <w:sz w:val="28"/>
          <w:szCs w:val="28"/>
        </w:rPr>
        <w:t>6 Федерального закона  от 28</w:t>
      </w:r>
      <w:r w:rsidR="00572345">
        <w:rPr>
          <w:rFonts w:ascii="Times New Roman" w:hAnsi="Times New Roman"/>
          <w:sz w:val="28"/>
          <w:szCs w:val="28"/>
        </w:rPr>
        <w:t xml:space="preserve"> июня </w:t>
      </w:r>
      <w:r w:rsidR="00AC6B4D" w:rsidRPr="007718B2">
        <w:rPr>
          <w:rFonts w:ascii="Times New Roman" w:hAnsi="Times New Roman"/>
          <w:sz w:val="28"/>
          <w:szCs w:val="28"/>
        </w:rPr>
        <w:t xml:space="preserve">2014 </w:t>
      </w:r>
      <w:r w:rsidR="00572345">
        <w:rPr>
          <w:rFonts w:ascii="Times New Roman" w:hAnsi="Times New Roman"/>
          <w:sz w:val="28"/>
          <w:szCs w:val="28"/>
        </w:rPr>
        <w:t xml:space="preserve">г. </w:t>
      </w:r>
      <w:r w:rsidR="00AC6B4D" w:rsidRPr="007718B2">
        <w:rPr>
          <w:rFonts w:ascii="Times New Roman" w:hAnsi="Times New Roman"/>
          <w:sz w:val="28"/>
          <w:szCs w:val="28"/>
        </w:rPr>
        <w:t>№ 172</w:t>
      </w:r>
      <w:r w:rsidR="000373B5" w:rsidRPr="007718B2">
        <w:rPr>
          <w:rFonts w:ascii="Times New Roman" w:hAnsi="Times New Roman"/>
          <w:sz w:val="28"/>
          <w:szCs w:val="28"/>
        </w:rPr>
        <w:t>-</w:t>
      </w:r>
      <w:r w:rsidR="00AC6B4D" w:rsidRPr="007718B2">
        <w:rPr>
          <w:rFonts w:ascii="Times New Roman" w:hAnsi="Times New Roman"/>
          <w:sz w:val="28"/>
          <w:szCs w:val="28"/>
        </w:rPr>
        <w:t xml:space="preserve">ФЗ </w:t>
      </w:r>
      <w:r w:rsidR="00F61C89">
        <w:rPr>
          <w:rFonts w:ascii="Times New Roman" w:hAnsi="Times New Roman"/>
          <w:sz w:val="28"/>
          <w:szCs w:val="28"/>
        </w:rPr>
        <w:t>«</w:t>
      </w:r>
      <w:r w:rsidR="00AC6B4D" w:rsidRPr="007718B2">
        <w:rPr>
          <w:rFonts w:ascii="Times New Roman" w:hAnsi="Times New Roman"/>
          <w:sz w:val="28"/>
          <w:szCs w:val="28"/>
        </w:rPr>
        <w:t>О стратегическом планировании в Российской Федерации</w:t>
      </w:r>
      <w:r w:rsidR="00F61C89" w:rsidRPr="00153343">
        <w:rPr>
          <w:rFonts w:ascii="Times New Roman" w:hAnsi="Times New Roman"/>
          <w:sz w:val="28"/>
          <w:szCs w:val="28"/>
        </w:rPr>
        <w:t>»</w:t>
      </w:r>
      <w:r w:rsidR="00AC6B4D" w:rsidRPr="00153343">
        <w:rPr>
          <w:rFonts w:ascii="Times New Roman" w:hAnsi="Times New Roman"/>
          <w:sz w:val="28"/>
          <w:szCs w:val="28"/>
        </w:rPr>
        <w:t xml:space="preserve">, </w:t>
      </w:r>
      <w:r w:rsidRPr="0015334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Минераловодского городского </w:t>
      </w:r>
      <w:r w:rsidR="004E29F8" w:rsidRPr="00153343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от </w:t>
      </w:r>
      <w:r w:rsidR="000373B5" w:rsidRPr="00153343">
        <w:rPr>
          <w:rFonts w:ascii="Times New Roman" w:hAnsi="Times New Roman" w:cs="Times New Roman"/>
          <w:sz w:val="28"/>
          <w:szCs w:val="28"/>
        </w:rPr>
        <w:t>0</w:t>
      </w:r>
      <w:r w:rsidRPr="00153343">
        <w:rPr>
          <w:rFonts w:ascii="Times New Roman" w:hAnsi="Times New Roman" w:cs="Times New Roman"/>
          <w:sz w:val="28"/>
          <w:szCs w:val="28"/>
        </w:rPr>
        <w:t>9</w:t>
      </w:r>
      <w:r w:rsidR="00572345">
        <w:rPr>
          <w:rFonts w:ascii="Times New Roman" w:hAnsi="Times New Roman" w:cs="Times New Roman"/>
          <w:sz w:val="28"/>
          <w:szCs w:val="28"/>
        </w:rPr>
        <w:t xml:space="preserve"> ноября 2</w:t>
      </w:r>
      <w:r w:rsidRPr="00153343">
        <w:rPr>
          <w:rFonts w:ascii="Times New Roman" w:hAnsi="Times New Roman" w:cs="Times New Roman"/>
          <w:sz w:val="28"/>
          <w:szCs w:val="28"/>
        </w:rPr>
        <w:t>015</w:t>
      </w:r>
      <w:r w:rsidR="00572345">
        <w:rPr>
          <w:rFonts w:ascii="Times New Roman" w:hAnsi="Times New Roman" w:cs="Times New Roman"/>
          <w:sz w:val="28"/>
          <w:szCs w:val="28"/>
        </w:rPr>
        <w:t xml:space="preserve"> г.</w:t>
      </w:r>
      <w:r w:rsidR="004E29F8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Pr="00153343">
        <w:rPr>
          <w:rFonts w:ascii="Times New Roman" w:hAnsi="Times New Roman" w:cs="Times New Roman"/>
          <w:sz w:val="28"/>
          <w:szCs w:val="28"/>
        </w:rPr>
        <w:t>№</w:t>
      </w:r>
      <w:r w:rsidR="00FA0FE4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="00CE4B11" w:rsidRPr="00153343">
        <w:rPr>
          <w:rFonts w:ascii="Times New Roman" w:hAnsi="Times New Roman" w:cs="Times New Roman"/>
          <w:sz w:val="28"/>
          <w:szCs w:val="28"/>
        </w:rPr>
        <w:t>0</w:t>
      </w:r>
      <w:r w:rsidRPr="00153343">
        <w:rPr>
          <w:rFonts w:ascii="Times New Roman" w:hAnsi="Times New Roman" w:cs="Times New Roman"/>
          <w:sz w:val="28"/>
          <w:szCs w:val="28"/>
        </w:rPr>
        <w:t xml:space="preserve">1 </w:t>
      </w:r>
      <w:r w:rsidR="00F61C89" w:rsidRPr="00153343">
        <w:rPr>
          <w:rFonts w:ascii="Times New Roman" w:hAnsi="Times New Roman" w:cs="Times New Roman"/>
          <w:sz w:val="28"/>
          <w:szCs w:val="28"/>
        </w:rPr>
        <w:t>«</w:t>
      </w:r>
      <w:r w:rsidRPr="00153343">
        <w:rPr>
          <w:rFonts w:ascii="Times New Roman" w:hAnsi="Times New Roman" w:cs="Times New Roman"/>
          <w:sz w:val="28"/>
          <w:szCs w:val="28"/>
        </w:rPr>
        <w:t>Об утверждении Порядка разработки прогноза социально-экономического развития Минераловодского городского округа Ставропольского края на среднесрочный период</w:t>
      </w:r>
      <w:r w:rsidR="00F61C89" w:rsidRPr="00153343">
        <w:rPr>
          <w:rFonts w:ascii="Times New Roman" w:hAnsi="Times New Roman" w:cs="Times New Roman"/>
          <w:sz w:val="28"/>
          <w:szCs w:val="28"/>
        </w:rPr>
        <w:t>»</w:t>
      </w:r>
      <w:r w:rsidR="00D933E0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Pr="00153343">
        <w:rPr>
          <w:rFonts w:ascii="Times New Roman" w:hAnsi="Times New Roman" w:cs="Times New Roman"/>
          <w:sz w:val="28"/>
          <w:szCs w:val="28"/>
        </w:rPr>
        <w:t>(с</w:t>
      </w:r>
      <w:r w:rsidR="004E29F8" w:rsidRPr="00153343">
        <w:rPr>
          <w:rFonts w:ascii="Times New Roman" w:hAnsi="Times New Roman" w:cs="Times New Roman"/>
          <w:sz w:val="28"/>
          <w:szCs w:val="28"/>
        </w:rPr>
        <w:t xml:space="preserve"> изменениями</w:t>
      </w:r>
      <w:r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="004E29F8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Pr="00153343">
        <w:rPr>
          <w:rFonts w:ascii="Times New Roman" w:hAnsi="Times New Roman" w:cs="Times New Roman"/>
          <w:sz w:val="28"/>
          <w:szCs w:val="28"/>
        </w:rPr>
        <w:t xml:space="preserve">внесенными </w:t>
      </w:r>
      <w:r w:rsidR="00FA0FE4" w:rsidRPr="00153343">
        <w:rPr>
          <w:rFonts w:ascii="Times New Roman" w:hAnsi="Times New Roman" w:cs="Times New Roman"/>
          <w:sz w:val="28"/>
          <w:szCs w:val="28"/>
        </w:rPr>
        <w:t>от 26</w:t>
      </w:r>
      <w:r w:rsidR="00572345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FA0FE4" w:rsidRPr="00153343">
        <w:rPr>
          <w:rFonts w:ascii="Times New Roman" w:hAnsi="Times New Roman" w:cs="Times New Roman"/>
          <w:sz w:val="28"/>
          <w:szCs w:val="28"/>
        </w:rPr>
        <w:t>2017</w:t>
      </w:r>
      <w:r w:rsidR="000373B5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="00572345">
        <w:rPr>
          <w:rFonts w:ascii="Times New Roman" w:hAnsi="Times New Roman" w:cs="Times New Roman"/>
          <w:sz w:val="28"/>
          <w:szCs w:val="28"/>
        </w:rPr>
        <w:t xml:space="preserve">г. </w:t>
      </w:r>
      <w:r w:rsidR="00FA0FE4" w:rsidRPr="00153343">
        <w:rPr>
          <w:rFonts w:ascii="Times New Roman" w:hAnsi="Times New Roman" w:cs="Times New Roman"/>
          <w:sz w:val="28"/>
          <w:szCs w:val="28"/>
        </w:rPr>
        <w:t>№ 971</w:t>
      </w:r>
      <w:r w:rsidR="00D74ED7" w:rsidRPr="00153343">
        <w:rPr>
          <w:rFonts w:ascii="Times New Roman" w:hAnsi="Times New Roman" w:cs="Times New Roman"/>
          <w:sz w:val="28"/>
          <w:szCs w:val="28"/>
        </w:rPr>
        <w:t>, от 14</w:t>
      </w:r>
      <w:r w:rsidR="00572345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D74ED7" w:rsidRPr="00153343">
        <w:rPr>
          <w:rFonts w:ascii="Times New Roman" w:hAnsi="Times New Roman" w:cs="Times New Roman"/>
          <w:sz w:val="28"/>
          <w:szCs w:val="28"/>
        </w:rPr>
        <w:t>2017</w:t>
      </w:r>
      <w:r w:rsidR="000373B5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="00572345">
        <w:rPr>
          <w:rFonts w:ascii="Times New Roman" w:hAnsi="Times New Roman" w:cs="Times New Roman"/>
          <w:sz w:val="28"/>
          <w:szCs w:val="28"/>
        </w:rPr>
        <w:t xml:space="preserve">г. </w:t>
      </w:r>
      <w:r w:rsidR="00C24F11" w:rsidRPr="00153343">
        <w:rPr>
          <w:rFonts w:ascii="Times New Roman" w:hAnsi="Times New Roman" w:cs="Times New Roman"/>
          <w:sz w:val="28"/>
          <w:szCs w:val="28"/>
        </w:rPr>
        <w:t>№ 3046</w:t>
      </w:r>
      <w:r w:rsidR="00572345">
        <w:rPr>
          <w:rFonts w:ascii="Times New Roman" w:hAnsi="Times New Roman" w:cs="Times New Roman"/>
          <w:sz w:val="28"/>
          <w:szCs w:val="28"/>
        </w:rPr>
        <w:t xml:space="preserve">, от 22 мая </w:t>
      </w:r>
      <w:r w:rsidR="00327191" w:rsidRPr="00153343">
        <w:rPr>
          <w:rFonts w:ascii="Times New Roman" w:hAnsi="Times New Roman" w:cs="Times New Roman"/>
          <w:sz w:val="28"/>
          <w:szCs w:val="28"/>
        </w:rPr>
        <w:t xml:space="preserve">2017 </w:t>
      </w:r>
      <w:r w:rsidR="00572345">
        <w:rPr>
          <w:rFonts w:ascii="Times New Roman" w:hAnsi="Times New Roman" w:cs="Times New Roman"/>
          <w:sz w:val="28"/>
          <w:szCs w:val="28"/>
        </w:rPr>
        <w:t xml:space="preserve">г. </w:t>
      </w:r>
      <w:r w:rsidR="00327191" w:rsidRPr="00153343">
        <w:rPr>
          <w:rFonts w:ascii="Times New Roman" w:hAnsi="Times New Roman" w:cs="Times New Roman"/>
          <w:sz w:val="28"/>
          <w:szCs w:val="28"/>
        </w:rPr>
        <w:t>№</w:t>
      </w:r>
      <w:r w:rsidR="000373B5" w:rsidRPr="00153343">
        <w:rPr>
          <w:rFonts w:ascii="Times New Roman" w:hAnsi="Times New Roman" w:cs="Times New Roman"/>
          <w:sz w:val="28"/>
          <w:szCs w:val="28"/>
        </w:rPr>
        <w:t xml:space="preserve"> </w:t>
      </w:r>
      <w:r w:rsidR="00327191" w:rsidRPr="00153343">
        <w:rPr>
          <w:rFonts w:ascii="Times New Roman" w:hAnsi="Times New Roman" w:cs="Times New Roman"/>
          <w:sz w:val="28"/>
          <w:szCs w:val="28"/>
        </w:rPr>
        <w:t>1211, от 22</w:t>
      </w:r>
      <w:r w:rsidR="00572345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327191" w:rsidRPr="00153343">
        <w:rPr>
          <w:rFonts w:ascii="Times New Roman" w:hAnsi="Times New Roman" w:cs="Times New Roman"/>
          <w:sz w:val="28"/>
          <w:szCs w:val="28"/>
        </w:rPr>
        <w:t xml:space="preserve">2019 </w:t>
      </w:r>
      <w:r w:rsidR="00572345">
        <w:rPr>
          <w:rFonts w:ascii="Times New Roman" w:hAnsi="Times New Roman" w:cs="Times New Roman"/>
          <w:sz w:val="28"/>
          <w:szCs w:val="28"/>
        </w:rPr>
        <w:t xml:space="preserve">г. </w:t>
      </w:r>
      <w:r w:rsidR="00327191" w:rsidRPr="00153343">
        <w:rPr>
          <w:rFonts w:ascii="Times New Roman" w:hAnsi="Times New Roman" w:cs="Times New Roman"/>
          <w:sz w:val="28"/>
          <w:szCs w:val="28"/>
        </w:rPr>
        <w:t>№ 344</w:t>
      </w:r>
      <w:r w:rsidR="00BB0F03" w:rsidRPr="00153343">
        <w:rPr>
          <w:rFonts w:ascii="Times New Roman" w:hAnsi="Times New Roman" w:cs="Times New Roman"/>
          <w:sz w:val="28"/>
          <w:szCs w:val="28"/>
        </w:rPr>
        <w:t xml:space="preserve">, </w:t>
      </w:r>
      <w:r w:rsidR="00BB0F03" w:rsidRPr="00153343">
        <w:rPr>
          <w:rFonts w:ascii="Times New Roman" w:hAnsi="Times New Roman"/>
          <w:sz w:val="28"/>
          <w:szCs w:val="28"/>
        </w:rPr>
        <w:t>от 11</w:t>
      </w:r>
      <w:r w:rsidR="00572345">
        <w:rPr>
          <w:rFonts w:ascii="Times New Roman" w:hAnsi="Times New Roman"/>
          <w:sz w:val="28"/>
          <w:szCs w:val="28"/>
        </w:rPr>
        <w:t xml:space="preserve"> ноября </w:t>
      </w:r>
      <w:r w:rsidR="00BB0F03" w:rsidRPr="00153343">
        <w:rPr>
          <w:rFonts w:ascii="Times New Roman" w:hAnsi="Times New Roman"/>
          <w:sz w:val="28"/>
          <w:szCs w:val="28"/>
        </w:rPr>
        <w:t xml:space="preserve">2019 </w:t>
      </w:r>
      <w:r w:rsidR="00572345">
        <w:rPr>
          <w:rFonts w:ascii="Times New Roman" w:hAnsi="Times New Roman"/>
          <w:sz w:val="28"/>
          <w:szCs w:val="28"/>
        </w:rPr>
        <w:t xml:space="preserve">г. </w:t>
      </w:r>
      <w:r w:rsidR="00BB0F03" w:rsidRPr="00153343">
        <w:rPr>
          <w:rFonts w:ascii="Times New Roman" w:hAnsi="Times New Roman"/>
          <w:sz w:val="28"/>
          <w:szCs w:val="28"/>
        </w:rPr>
        <w:t>№ 2459</w:t>
      </w:r>
      <w:r w:rsidR="00C24F11" w:rsidRPr="00153343">
        <w:rPr>
          <w:rFonts w:ascii="Times New Roman" w:hAnsi="Times New Roman" w:cs="Times New Roman"/>
          <w:sz w:val="28"/>
          <w:szCs w:val="28"/>
        </w:rPr>
        <w:t>).</w:t>
      </w:r>
    </w:p>
    <w:p w:rsidR="002E0350" w:rsidRPr="007718B2" w:rsidRDefault="00B70B2C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8B2">
        <w:rPr>
          <w:rFonts w:ascii="Times New Roman" w:hAnsi="Times New Roman" w:cs="Times New Roman"/>
          <w:sz w:val="28"/>
          <w:szCs w:val="28"/>
        </w:rPr>
        <w:t xml:space="preserve">В </w:t>
      </w:r>
      <w:r w:rsidR="00731B35" w:rsidRPr="007718B2">
        <w:rPr>
          <w:rFonts w:ascii="Times New Roman" w:hAnsi="Times New Roman" w:cs="Times New Roman"/>
          <w:sz w:val="28"/>
          <w:szCs w:val="28"/>
        </w:rPr>
        <w:t xml:space="preserve">целях определения точности прогнозируемых показателей и </w:t>
      </w:r>
      <w:r w:rsidR="005840F5" w:rsidRPr="007718B2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Pr="007718B2">
        <w:rPr>
          <w:rFonts w:ascii="Times New Roman" w:hAnsi="Times New Roman" w:cs="Times New Roman"/>
          <w:sz w:val="28"/>
          <w:szCs w:val="28"/>
        </w:rPr>
        <w:t xml:space="preserve">отклонений между фактическими и плановыми показателями прогноза 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7718B2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613D6" w:rsidRPr="007718B2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CB7D58" w:rsidRPr="007718B2">
        <w:rPr>
          <w:rFonts w:ascii="Times New Roman" w:hAnsi="Times New Roman" w:cs="Times New Roman"/>
          <w:sz w:val="28"/>
          <w:szCs w:val="28"/>
        </w:rPr>
        <w:t xml:space="preserve"> проводил</w:t>
      </w:r>
      <w:r w:rsidR="001969F2" w:rsidRPr="007718B2">
        <w:rPr>
          <w:rFonts w:ascii="Times New Roman" w:hAnsi="Times New Roman" w:cs="Times New Roman"/>
          <w:sz w:val="28"/>
          <w:szCs w:val="28"/>
        </w:rPr>
        <w:t xml:space="preserve">ся с применением </w:t>
      </w:r>
      <w:r w:rsidR="006613D6" w:rsidRPr="007718B2">
        <w:rPr>
          <w:rFonts w:ascii="Times New Roman" w:hAnsi="Times New Roman" w:cs="Times New Roman"/>
          <w:sz w:val="28"/>
          <w:szCs w:val="28"/>
        </w:rPr>
        <w:t>формул абсолютных</w:t>
      </w:r>
      <w:r w:rsidR="001969F2" w:rsidRPr="007718B2">
        <w:rPr>
          <w:rFonts w:ascii="Times New Roman" w:hAnsi="Times New Roman" w:cs="Times New Roman"/>
          <w:sz w:val="28"/>
          <w:szCs w:val="28"/>
        </w:rPr>
        <w:t xml:space="preserve"> и относительных отклонений</w:t>
      </w:r>
      <w:r w:rsidRPr="007718B2">
        <w:rPr>
          <w:rFonts w:ascii="Times New Roman" w:hAnsi="Times New Roman" w:cs="Times New Roman"/>
          <w:sz w:val="28"/>
          <w:szCs w:val="28"/>
        </w:rPr>
        <w:t>.</w:t>
      </w:r>
    </w:p>
    <w:p w:rsidR="006613D6" w:rsidRPr="007718B2" w:rsidRDefault="006613D6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18B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Абсолютное отклонение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это разница между отчетным периодом 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AC6B4D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фактические 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цифры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текущего отчетного года) и базовым 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периодом (цифры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6B4D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планового показателя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613D6" w:rsidRPr="007718B2" w:rsidRDefault="006613D6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Относительное отклонение (выражается в процентах) и определяется делением отчетного периода на базовый и умножением на сто для перевода в проценты.</w:t>
      </w:r>
    </w:p>
    <w:p w:rsidR="00E66166" w:rsidRPr="009543AA" w:rsidRDefault="00CB7D58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итогам мониторинга выявлено, что в</w:t>
      </w:r>
      <w:r w:rsidR="002469F7" w:rsidRPr="009543AA">
        <w:rPr>
          <w:rFonts w:ascii="Times New Roman" w:hAnsi="Times New Roman" w:cs="Times New Roman"/>
          <w:sz w:val="28"/>
          <w:szCs w:val="28"/>
        </w:rPr>
        <w:t xml:space="preserve"> целом прогнозируемые показатели соответствуют фактически достигнутым значениям, перевыполнены следующие по</w:t>
      </w:r>
      <w:r w:rsidR="00796810" w:rsidRPr="009543AA">
        <w:rPr>
          <w:rFonts w:ascii="Times New Roman" w:hAnsi="Times New Roman" w:cs="Times New Roman"/>
          <w:sz w:val="28"/>
          <w:szCs w:val="28"/>
        </w:rPr>
        <w:t>казатели, измеряемые в м</w:t>
      </w:r>
      <w:r w:rsidR="001C0656" w:rsidRPr="009543AA">
        <w:rPr>
          <w:rFonts w:ascii="Times New Roman" w:hAnsi="Times New Roman" w:cs="Times New Roman"/>
          <w:sz w:val="28"/>
          <w:szCs w:val="28"/>
        </w:rPr>
        <w:t>ил</w:t>
      </w:r>
      <w:r w:rsidR="00796810" w:rsidRPr="009543AA">
        <w:rPr>
          <w:rFonts w:ascii="Times New Roman" w:hAnsi="Times New Roman" w:cs="Times New Roman"/>
          <w:sz w:val="28"/>
          <w:szCs w:val="28"/>
        </w:rPr>
        <w:t>л</w:t>
      </w:r>
      <w:r w:rsidR="001C0656" w:rsidRPr="009543AA">
        <w:rPr>
          <w:rFonts w:ascii="Times New Roman" w:hAnsi="Times New Roman" w:cs="Times New Roman"/>
          <w:sz w:val="28"/>
          <w:szCs w:val="28"/>
        </w:rPr>
        <w:t xml:space="preserve">ионах </w:t>
      </w:r>
      <w:r w:rsidR="00796810" w:rsidRPr="009543AA">
        <w:rPr>
          <w:rFonts w:ascii="Times New Roman" w:hAnsi="Times New Roman" w:cs="Times New Roman"/>
          <w:sz w:val="28"/>
          <w:szCs w:val="28"/>
        </w:rPr>
        <w:t>руб</w:t>
      </w:r>
      <w:r w:rsidR="001C0656" w:rsidRPr="009543AA">
        <w:rPr>
          <w:rFonts w:ascii="Times New Roman" w:hAnsi="Times New Roman" w:cs="Times New Roman"/>
          <w:sz w:val="28"/>
          <w:szCs w:val="28"/>
        </w:rPr>
        <w:t>лей</w:t>
      </w:r>
      <w:r w:rsidR="002469F7" w:rsidRPr="009543A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43AA" w:rsidRPr="009543AA" w:rsidRDefault="009543AA" w:rsidP="00954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3AA">
        <w:rPr>
          <w:rFonts w:ascii="Times New Roman" w:hAnsi="Times New Roman" w:cs="Times New Roman"/>
          <w:sz w:val="28"/>
          <w:szCs w:val="28"/>
        </w:rPr>
        <w:t>- оборот розничной торговли;</w:t>
      </w:r>
    </w:p>
    <w:p w:rsidR="00F70040" w:rsidRPr="00114FB2" w:rsidRDefault="00D74ED7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B2">
        <w:rPr>
          <w:rFonts w:ascii="Times New Roman" w:hAnsi="Times New Roman" w:cs="Times New Roman"/>
          <w:sz w:val="28"/>
          <w:szCs w:val="28"/>
        </w:rPr>
        <w:t>- продукция сельского хозяйства</w:t>
      </w:r>
      <w:r w:rsidR="009543AA" w:rsidRPr="00114FB2">
        <w:rPr>
          <w:rFonts w:ascii="Times New Roman" w:hAnsi="Times New Roman" w:cs="Times New Roman"/>
          <w:sz w:val="28"/>
          <w:szCs w:val="28"/>
        </w:rPr>
        <w:t>;</w:t>
      </w:r>
    </w:p>
    <w:p w:rsidR="00995869" w:rsidRPr="00114FB2" w:rsidRDefault="00995869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869">
        <w:rPr>
          <w:rFonts w:ascii="Times New Roman" w:hAnsi="Times New Roman" w:cs="Times New Roman"/>
          <w:sz w:val="28"/>
          <w:szCs w:val="28"/>
        </w:rPr>
        <w:t xml:space="preserve">- </w:t>
      </w:r>
      <w:r w:rsidRPr="00114FB2">
        <w:rPr>
          <w:rFonts w:ascii="Times New Roman" w:hAnsi="Times New Roman" w:cs="Times New Roman"/>
          <w:sz w:val="28"/>
          <w:szCs w:val="28"/>
        </w:rPr>
        <w:t>инвестиции в основной капитал;</w:t>
      </w:r>
    </w:p>
    <w:p w:rsidR="00D74ED7" w:rsidRPr="00995869" w:rsidRDefault="00282E17" w:rsidP="00995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B2">
        <w:rPr>
          <w:rFonts w:ascii="Times New Roman" w:hAnsi="Times New Roman" w:cs="Times New Roman"/>
          <w:sz w:val="28"/>
          <w:szCs w:val="28"/>
        </w:rPr>
        <w:t xml:space="preserve">- </w:t>
      </w:r>
      <w:r w:rsidR="00017665" w:rsidRPr="00114FB2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</w:t>
      </w:r>
      <w:r w:rsidR="00995869" w:rsidRPr="00114FB2">
        <w:rPr>
          <w:rFonts w:ascii="Times New Roman" w:hAnsi="Times New Roman" w:cs="Times New Roman"/>
          <w:sz w:val="28"/>
          <w:szCs w:val="28"/>
        </w:rPr>
        <w:t xml:space="preserve"> всех источников финансирования</w:t>
      </w:r>
      <w:r w:rsidR="00D74ED7" w:rsidRPr="00114FB2">
        <w:rPr>
          <w:rFonts w:ascii="Times New Roman" w:hAnsi="Times New Roman" w:cs="Times New Roman"/>
          <w:sz w:val="28"/>
          <w:szCs w:val="28"/>
        </w:rPr>
        <w:t>.</w:t>
      </w:r>
    </w:p>
    <w:p w:rsidR="00114FB2" w:rsidRPr="00114FB2" w:rsidRDefault="00114FB2" w:rsidP="00114FB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4FB2">
        <w:rPr>
          <w:rFonts w:ascii="Times New Roman" w:hAnsi="Times New Roman" w:cs="Times New Roman"/>
          <w:sz w:val="28"/>
          <w:szCs w:val="28"/>
        </w:rPr>
        <w:t>По показателям, характеризующим «сельское хозяйство» получены следующие результаты:</w:t>
      </w:r>
    </w:p>
    <w:p w:rsidR="00114FB2" w:rsidRPr="00114FB2" w:rsidRDefault="00114FB2" w:rsidP="00114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 xml:space="preserve">- «продукция сельского хозяйства», относительное отклонение             </w:t>
      </w:r>
      <w:proofErr w:type="gramStart"/>
      <w:r w:rsidRPr="00114FB2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114FB2">
        <w:rPr>
          <w:rFonts w:ascii="Times New Roman" w:hAnsi="Times New Roman"/>
          <w:sz w:val="28"/>
          <w:szCs w:val="28"/>
        </w:rPr>
        <w:t xml:space="preserve">+28,69 %), абсолютное отклонение (+1 504,74 млн. руб.), в том числе: </w:t>
      </w:r>
    </w:p>
    <w:p w:rsidR="00114FB2" w:rsidRPr="00114FB2" w:rsidRDefault="00114FB2" w:rsidP="00114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 xml:space="preserve">- «продукция растениеводства», относительное отклонение                  </w:t>
      </w:r>
      <w:proofErr w:type="gramStart"/>
      <w:r w:rsidRPr="00114FB2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114FB2">
        <w:rPr>
          <w:rFonts w:ascii="Times New Roman" w:hAnsi="Times New Roman"/>
          <w:sz w:val="28"/>
          <w:szCs w:val="28"/>
        </w:rPr>
        <w:t>+35,72  %), абсолютное отклонение(+ 1 628,94  млн. руб.);</w:t>
      </w:r>
    </w:p>
    <w:p w:rsidR="00114FB2" w:rsidRPr="00114FB2" w:rsidRDefault="00114FB2" w:rsidP="00114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>- «продукция животноводства», относительное отклонение (-16,4%), абсолютное отклонение (-109,9 млн. руб.).</w:t>
      </w:r>
    </w:p>
    <w:p w:rsidR="00114FB2" w:rsidRPr="00114FB2" w:rsidRDefault="00114FB2" w:rsidP="00114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>Увеличение показателя «продукция растениеводства» за 2023 год связано с увеличением объема производства зерновых и зернобобовых культур, за счет увеличения урожайности.</w:t>
      </w:r>
    </w:p>
    <w:p w:rsidR="00114FB2" w:rsidRPr="00114FB2" w:rsidRDefault="00114FB2" w:rsidP="00114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>Уменьшение показателя «продукция животноводства» связано с закрытием КФХ округа, занимающихся выращиванием КРС и МРС и реализованных в другие регионы.</w:t>
      </w:r>
    </w:p>
    <w:p w:rsidR="00433159" w:rsidRPr="00060ECE" w:rsidRDefault="00433159" w:rsidP="00060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ECE">
        <w:rPr>
          <w:rFonts w:ascii="Times New Roman" w:hAnsi="Times New Roman"/>
          <w:sz w:val="28"/>
          <w:szCs w:val="28"/>
        </w:rPr>
        <w:t>По итогам 202</w:t>
      </w:r>
      <w:r w:rsidR="00060ECE" w:rsidRPr="00060ECE">
        <w:rPr>
          <w:rFonts w:ascii="Times New Roman" w:hAnsi="Times New Roman"/>
          <w:sz w:val="28"/>
          <w:szCs w:val="28"/>
        </w:rPr>
        <w:t>3</w:t>
      </w:r>
      <w:r w:rsidRPr="00060ECE">
        <w:rPr>
          <w:rFonts w:ascii="Times New Roman" w:hAnsi="Times New Roman"/>
          <w:sz w:val="28"/>
          <w:szCs w:val="28"/>
        </w:rPr>
        <w:t xml:space="preserve"> года объем инвестиций в основной капитал по полному кругу организаций Минераловодского </w:t>
      </w:r>
      <w:r w:rsidR="00B92F0D">
        <w:rPr>
          <w:rFonts w:ascii="Times New Roman" w:hAnsi="Times New Roman"/>
          <w:sz w:val="28"/>
          <w:szCs w:val="28"/>
        </w:rPr>
        <w:t>муниципальн</w:t>
      </w:r>
      <w:r w:rsidRPr="00060ECE">
        <w:rPr>
          <w:rFonts w:ascii="Times New Roman" w:hAnsi="Times New Roman"/>
          <w:sz w:val="28"/>
          <w:szCs w:val="28"/>
        </w:rPr>
        <w:t xml:space="preserve">ого округа </w:t>
      </w:r>
      <w:r w:rsidR="00B92F0D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060ECE">
        <w:rPr>
          <w:rFonts w:ascii="Times New Roman" w:hAnsi="Times New Roman"/>
          <w:sz w:val="28"/>
          <w:szCs w:val="28"/>
        </w:rPr>
        <w:t xml:space="preserve">составил </w:t>
      </w:r>
      <w:r w:rsidR="00060ECE" w:rsidRPr="00060ECE">
        <w:rPr>
          <w:rFonts w:ascii="Times New Roman" w:hAnsi="Times New Roman"/>
          <w:sz w:val="28"/>
          <w:szCs w:val="28"/>
        </w:rPr>
        <w:t>18</w:t>
      </w:r>
      <w:r w:rsidR="00B92F0D">
        <w:rPr>
          <w:rFonts w:ascii="Times New Roman" w:hAnsi="Times New Roman"/>
          <w:sz w:val="28"/>
          <w:szCs w:val="28"/>
        </w:rPr>
        <w:t xml:space="preserve"> </w:t>
      </w:r>
      <w:r w:rsidR="00060ECE" w:rsidRPr="00060ECE">
        <w:rPr>
          <w:rFonts w:ascii="Times New Roman" w:hAnsi="Times New Roman"/>
          <w:sz w:val="28"/>
          <w:szCs w:val="28"/>
        </w:rPr>
        <w:t xml:space="preserve">372,27 </w:t>
      </w:r>
      <w:r w:rsidRPr="00060ECE">
        <w:rPr>
          <w:rFonts w:ascii="Times New Roman" w:hAnsi="Times New Roman"/>
          <w:sz w:val="28"/>
          <w:szCs w:val="28"/>
        </w:rPr>
        <w:t>млн. руб</w:t>
      </w:r>
      <w:r w:rsidR="00421122" w:rsidRPr="00060ECE">
        <w:rPr>
          <w:rFonts w:ascii="Times New Roman" w:hAnsi="Times New Roman"/>
          <w:sz w:val="28"/>
          <w:szCs w:val="28"/>
        </w:rPr>
        <w:t>.</w:t>
      </w:r>
      <w:r w:rsidRPr="00060ECE">
        <w:rPr>
          <w:rFonts w:ascii="Times New Roman" w:hAnsi="Times New Roman"/>
          <w:sz w:val="28"/>
          <w:szCs w:val="28"/>
        </w:rPr>
        <w:t xml:space="preserve"> против </w:t>
      </w:r>
      <w:r w:rsidR="00060ECE" w:rsidRPr="00060ECE">
        <w:rPr>
          <w:rFonts w:ascii="Times New Roman" w:hAnsi="Times New Roman"/>
          <w:sz w:val="28"/>
          <w:szCs w:val="28"/>
        </w:rPr>
        <w:t xml:space="preserve">15 700,73 </w:t>
      </w:r>
      <w:r w:rsidRPr="00060ECE">
        <w:rPr>
          <w:rFonts w:ascii="Times New Roman" w:hAnsi="Times New Roman"/>
          <w:sz w:val="28"/>
          <w:szCs w:val="28"/>
        </w:rPr>
        <w:t>млн. руб</w:t>
      </w:r>
      <w:r w:rsidR="00421122" w:rsidRPr="00060ECE">
        <w:rPr>
          <w:rFonts w:ascii="Times New Roman" w:hAnsi="Times New Roman"/>
          <w:sz w:val="28"/>
          <w:szCs w:val="28"/>
        </w:rPr>
        <w:t>.</w:t>
      </w:r>
      <w:r w:rsidRPr="00060ECE">
        <w:rPr>
          <w:rFonts w:ascii="Times New Roman" w:hAnsi="Times New Roman"/>
          <w:sz w:val="28"/>
          <w:szCs w:val="28"/>
        </w:rPr>
        <w:t xml:space="preserve"> по прогнозу. Относительное отклонение фактического значения показателя от прогнозного составило (</w:t>
      </w:r>
      <w:r w:rsidR="00B92F0D">
        <w:rPr>
          <w:rFonts w:ascii="Times New Roman" w:hAnsi="Times New Roman"/>
          <w:sz w:val="28"/>
          <w:szCs w:val="28"/>
        </w:rPr>
        <w:t>+</w:t>
      </w:r>
      <w:r w:rsidR="00060ECE" w:rsidRPr="00060ECE">
        <w:rPr>
          <w:rFonts w:ascii="Times New Roman" w:hAnsi="Times New Roman"/>
          <w:sz w:val="28"/>
          <w:szCs w:val="28"/>
        </w:rPr>
        <w:t>17,02</w:t>
      </w:r>
      <w:r w:rsidR="00AA5A5D" w:rsidRPr="00060ECE">
        <w:rPr>
          <w:rFonts w:ascii="Times New Roman" w:hAnsi="Times New Roman"/>
          <w:sz w:val="28"/>
          <w:szCs w:val="28"/>
        </w:rPr>
        <w:t xml:space="preserve"> </w:t>
      </w:r>
      <w:r w:rsidRPr="00060ECE">
        <w:rPr>
          <w:rFonts w:ascii="Times New Roman" w:hAnsi="Times New Roman"/>
          <w:sz w:val="28"/>
          <w:szCs w:val="28"/>
        </w:rPr>
        <w:t>%), абсолютное отклонение (</w:t>
      </w:r>
      <w:r w:rsidR="00B92F0D">
        <w:rPr>
          <w:rFonts w:ascii="Times New Roman" w:hAnsi="Times New Roman"/>
          <w:sz w:val="28"/>
          <w:szCs w:val="28"/>
        </w:rPr>
        <w:t>+</w:t>
      </w:r>
      <w:r w:rsidR="00060ECE" w:rsidRPr="00060ECE">
        <w:rPr>
          <w:rFonts w:ascii="Times New Roman" w:hAnsi="Times New Roman"/>
          <w:sz w:val="28"/>
          <w:szCs w:val="28"/>
        </w:rPr>
        <w:t xml:space="preserve">2671,54 </w:t>
      </w:r>
      <w:r w:rsidRPr="00060ECE">
        <w:rPr>
          <w:rFonts w:ascii="Times New Roman" w:hAnsi="Times New Roman"/>
          <w:sz w:val="28"/>
          <w:szCs w:val="28"/>
        </w:rPr>
        <w:t>млн. руб</w:t>
      </w:r>
      <w:r w:rsidR="00421122" w:rsidRPr="00060ECE">
        <w:rPr>
          <w:rFonts w:ascii="Times New Roman" w:hAnsi="Times New Roman"/>
          <w:sz w:val="28"/>
          <w:szCs w:val="28"/>
        </w:rPr>
        <w:t>.</w:t>
      </w:r>
      <w:r w:rsidRPr="00060ECE">
        <w:rPr>
          <w:rFonts w:ascii="Times New Roman" w:hAnsi="Times New Roman"/>
          <w:sz w:val="28"/>
          <w:szCs w:val="28"/>
        </w:rPr>
        <w:t xml:space="preserve">). </w:t>
      </w:r>
      <w:r w:rsidR="00060ECE" w:rsidRPr="00060ECE">
        <w:rPr>
          <w:rFonts w:ascii="Times New Roman" w:hAnsi="Times New Roman"/>
          <w:sz w:val="28"/>
          <w:szCs w:val="28"/>
        </w:rPr>
        <w:t xml:space="preserve">Рост </w:t>
      </w:r>
      <w:r w:rsidR="00A113FA" w:rsidRPr="00060ECE">
        <w:rPr>
          <w:rFonts w:ascii="Times New Roman" w:hAnsi="Times New Roman"/>
          <w:sz w:val="28"/>
          <w:szCs w:val="28"/>
        </w:rPr>
        <w:t xml:space="preserve">показателя </w:t>
      </w:r>
      <w:r w:rsidR="00060ECE" w:rsidRPr="00060ECE">
        <w:rPr>
          <w:rFonts w:ascii="Times New Roman" w:hAnsi="Times New Roman"/>
          <w:sz w:val="28"/>
          <w:szCs w:val="28"/>
        </w:rPr>
        <w:t>обусловлен</w:t>
      </w:r>
      <w:r w:rsidR="00B71530" w:rsidRPr="00060ECE">
        <w:rPr>
          <w:rFonts w:ascii="Times New Roman" w:hAnsi="Times New Roman"/>
          <w:sz w:val="28"/>
          <w:szCs w:val="28"/>
        </w:rPr>
        <w:t xml:space="preserve"> </w:t>
      </w:r>
      <w:r w:rsidR="00060ECE" w:rsidRPr="00060ECE">
        <w:rPr>
          <w:rFonts w:ascii="Times New Roman" w:hAnsi="Times New Roman"/>
          <w:sz w:val="28"/>
          <w:szCs w:val="28"/>
        </w:rPr>
        <w:t>увеличением</w:t>
      </w:r>
      <w:r w:rsidR="0081622B" w:rsidRPr="00060ECE">
        <w:rPr>
          <w:rFonts w:ascii="Times New Roman" w:hAnsi="Times New Roman"/>
          <w:sz w:val="28"/>
          <w:szCs w:val="28"/>
        </w:rPr>
        <w:t xml:space="preserve"> </w:t>
      </w:r>
      <w:r w:rsidR="00573881" w:rsidRPr="00060ECE">
        <w:rPr>
          <w:rFonts w:ascii="Times New Roman" w:hAnsi="Times New Roman"/>
          <w:sz w:val="28"/>
          <w:szCs w:val="28"/>
        </w:rPr>
        <w:t xml:space="preserve">фактического </w:t>
      </w:r>
      <w:r w:rsidR="0081622B" w:rsidRPr="00060ECE">
        <w:rPr>
          <w:rFonts w:ascii="Times New Roman" w:hAnsi="Times New Roman"/>
          <w:sz w:val="28"/>
          <w:szCs w:val="28"/>
        </w:rPr>
        <w:t>объема инвестиций</w:t>
      </w:r>
      <w:r w:rsidR="00573881" w:rsidRPr="00060ECE">
        <w:rPr>
          <w:rFonts w:ascii="Times New Roman" w:hAnsi="Times New Roman"/>
          <w:sz w:val="28"/>
          <w:szCs w:val="28"/>
        </w:rPr>
        <w:t xml:space="preserve"> в основной капитал</w:t>
      </w:r>
      <w:r w:rsidR="0081622B" w:rsidRPr="00060ECE">
        <w:rPr>
          <w:rFonts w:ascii="Times New Roman" w:hAnsi="Times New Roman"/>
          <w:sz w:val="28"/>
          <w:szCs w:val="28"/>
        </w:rPr>
        <w:t xml:space="preserve"> за 202</w:t>
      </w:r>
      <w:r w:rsidR="00060ECE" w:rsidRPr="00060ECE">
        <w:rPr>
          <w:rFonts w:ascii="Times New Roman" w:hAnsi="Times New Roman"/>
          <w:sz w:val="28"/>
          <w:szCs w:val="28"/>
        </w:rPr>
        <w:t>3</w:t>
      </w:r>
      <w:r w:rsidR="0081622B" w:rsidRPr="00060ECE">
        <w:rPr>
          <w:rFonts w:ascii="Times New Roman" w:hAnsi="Times New Roman"/>
          <w:sz w:val="28"/>
          <w:szCs w:val="28"/>
        </w:rPr>
        <w:t xml:space="preserve"> год</w:t>
      </w:r>
      <w:r w:rsidR="00573881" w:rsidRPr="00060ECE">
        <w:rPr>
          <w:rFonts w:ascii="Times New Roman" w:hAnsi="Times New Roman"/>
          <w:sz w:val="28"/>
          <w:szCs w:val="28"/>
        </w:rPr>
        <w:t>,</w:t>
      </w:r>
      <w:r w:rsidR="0081622B" w:rsidRPr="00060ECE">
        <w:rPr>
          <w:rFonts w:ascii="Times New Roman" w:hAnsi="Times New Roman"/>
          <w:sz w:val="28"/>
          <w:szCs w:val="28"/>
        </w:rPr>
        <w:t xml:space="preserve"> </w:t>
      </w:r>
      <w:r w:rsidR="00B71530" w:rsidRPr="00060ECE">
        <w:rPr>
          <w:rFonts w:ascii="Times New Roman" w:hAnsi="Times New Roman"/>
          <w:sz w:val="28"/>
          <w:szCs w:val="28"/>
        </w:rPr>
        <w:t>предоставл</w:t>
      </w:r>
      <w:r w:rsidR="0081622B" w:rsidRPr="00060ECE">
        <w:rPr>
          <w:rFonts w:ascii="Times New Roman" w:hAnsi="Times New Roman"/>
          <w:sz w:val="28"/>
          <w:szCs w:val="28"/>
        </w:rPr>
        <w:t>яемого</w:t>
      </w:r>
      <w:r w:rsidR="00B71530" w:rsidRPr="00060ECE">
        <w:rPr>
          <w:rFonts w:ascii="Times New Roman" w:hAnsi="Times New Roman"/>
          <w:sz w:val="28"/>
          <w:szCs w:val="28"/>
        </w:rPr>
        <w:t xml:space="preserve"> в </w:t>
      </w:r>
      <w:r w:rsidR="00B92F0D" w:rsidRPr="00F26AAE">
        <w:rPr>
          <w:rFonts w:ascii="Times New Roman" w:hAnsi="Times New Roman" w:cs="Times New Roman"/>
          <w:sz w:val="28"/>
          <w:szCs w:val="28"/>
        </w:rPr>
        <w:t>Управлени</w:t>
      </w:r>
      <w:r w:rsidR="00B92F0D">
        <w:rPr>
          <w:rFonts w:ascii="Times New Roman" w:hAnsi="Times New Roman" w:cs="Times New Roman"/>
          <w:sz w:val="28"/>
          <w:szCs w:val="28"/>
        </w:rPr>
        <w:t>е</w:t>
      </w:r>
      <w:r w:rsidR="00B92F0D" w:rsidRPr="00F26AAE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</w:t>
      </w:r>
      <w:proofErr w:type="spellStart"/>
      <w:r w:rsidR="00B92F0D" w:rsidRPr="00F26AAE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B92F0D" w:rsidRPr="00F26AAE">
        <w:rPr>
          <w:rFonts w:ascii="Times New Roman" w:hAnsi="Times New Roman" w:cs="Times New Roman"/>
          <w:sz w:val="28"/>
          <w:szCs w:val="28"/>
        </w:rPr>
        <w:t xml:space="preserve"> – Кавказскому федеральному округу</w:t>
      </w:r>
      <w:r w:rsidR="00B71530" w:rsidRPr="00060ECE">
        <w:rPr>
          <w:rFonts w:ascii="Times New Roman" w:hAnsi="Times New Roman"/>
          <w:sz w:val="28"/>
          <w:szCs w:val="28"/>
        </w:rPr>
        <w:t>.</w:t>
      </w:r>
      <w:r w:rsidR="00B71530" w:rsidRPr="00060ECE">
        <w:rPr>
          <w:rFonts w:ascii="Times New Roman" w:hAnsi="Times New Roman"/>
          <w:sz w:val="28"/>
          <w:szCs w:val="28"/>
        </w:rPr>
        <w:t xml:space="preserve"> </w:t>
      </w:r>
      <w:r w:rsidR="00A113FA" w:rsidRPr="00060ECE">
        <w:rPr>
          <w:rFonts w:ascii="Times New Roman" w:hAnsi="Times New Roman"/>
          <w:sz w:val="28"/>
          <w:szCs w:val="28"/>
        </w:rPr>
        <w:t xml:space="preserve">  </w:t>
      </w:r>
    </w:p>
    <w:p w:rsidR="000D50F8" w:rsidRPr="00F5745E" w:rsidRDefault="00433159" w:rsidP="000D5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0F8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экономической деятельности </w:t>
      </w:r>
      <w:r w:rsidR="00F61C89" w:rsidRPr="000D50F8">
        <w:rPr>
          <w:rFonts w:ascii="Times New Roman" w:hAnsi="Times New Roman" w:cs="Times New Roman"/>
          <w:sz w:val="28"/>
          <w:szCs w:val="28"/>
        </w:rPr>
        <w:t>«</w:t>
      </w:r>
      <w:r w:rsidRPr="000D50F8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="00F61C89" w:rsidRPr="000D50F8">
        <w:rPr>
          <w:rFonts w:ascii="Times New Roman" w:hAnsi="Times New Roman" w:cs="Times New Roman"/>
          <w:sz w:val="28"/>
          <w:szCs w:val="28"/>
        </w:rPr>
        <w:t>»</w:t>
      </w:r>
      <w:r w:rsidRPr="000D50F8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8B3E44" w:rsidRPr="000D50F8">
        <w:rPr>
          <w:rFonts w:ascii="Times New Roman" w:hAnsi="Times New Roman" w:cs="Times New Roman"/>
          <w:sz w:val="28"/>
          <w:szCs w:val="28"/>
        </w:rPr>
        <w:t>23</w:t>
      </w:r>
      <w:r w:rsidRPr="000D50F8">
        <w:rPr>
          <w:rFonts w:ascii="Times New Roman" w:hAnsi="Times New Roman" w:cs="Times New Roman"/>
          <w:sz w:val="28"/>
          <w:szCs w:val="28"/>
        </w:rPr>
        <w:t xml:space="preserve"> </w:t>
      </w:r>
      <w:r w:rsidR="008B3E44" w:rsidRPr="000D50F8">
        <w:rPr>
          <w:rFonts w:ascii="Times New Roman" w:hAnsi="Times New Roman" w:cs="Times New Roman"/>
          <w:sz w:val="28"/>
          <w:szCs w:val="28"/>
        </w:rPr>
        <w:t>977</w:t>
      </w:r>
      <w:r w:rsidRPr="000D50F8">
        <w:rPr>
          <w:rFonts w:ascii="Times New Roman" w:hAnsi="Times New Roman" w:cs="Times New Roman"/>
          <w:sz w:val="28"/>
          <w:szCs w:val="28"/>
        </w:rPr>
        <w:t>,</w:t>
      </w:r>
      <w:r w:rsidR="008B3E44" w:rsidRPr="000D50F8">
        <w:rPr>
          <w:rFonts w:ascii="Times New Roman" w:hAnsi="Times New Roman" w:cs="Times New Roman"/>
          <w:sz w:val="28"/>
          <w:szCs w:val="28"/>
        </w:rPr>
        <w:t>0</w:t>
      </w:r>
      <w:r w:rsidRPr="000D50F8">
        <w:rPr>
          <w:rFonts w:ascii="Times New Roman" w:hAnsi="Times New Roman" w:cs="Times New Roman"/>
          <w:sz w:val="28"/>
          <w:szCs w:val="28"/>
        </w:rPr>
        <w:t xml:space="preserve"> млн. руб. Отклонения прогнозных показателей от фактически сложившихся за 202</w:t>
      </w:r>
      <w:r w:rsidR="008B3E44" w:rsidRPr="000D50F8">
        <w:rPr>
          <w:rFonts w:ascii="Times New Roman" w:hAnsi="Times New Roman" w:cs="Times New Roman"/>
          <w:sz w:val="28"/>
          <w:szCs w:val="28"/>
        </w:rPr>
        <w:t>3</w:t>
      </w:r>
      <w:r w:rsidRPr="000D50F8">
        <w:rPr>
          <w:rFonts w:ascii="Times New Roman" w:hAnsi="Times New Roman" w:cs="Times New Roman"/>
          <w:sz w:val="28"/>
          <w:szCs w:val="28"/>
        </w:rPr>
        <w:t xml:space="preserve"> год составили: относительное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="008B3E44" w:rsidRPr="000D50F8">
        <w:rPr>
          <w:rFonts w:ascii="Times New Roman" w:hAnsi="Times New Roman" w:cs="Times New Roman"/>
          <w:sz w:val="28"/>
          <w:szCs w:val="28"/>
        </w:rPr>
        <w:t>4</w:t>
      </w:r>
      <w:r w:rsidRPr="000D50F8">
        <w:rPr>
          <w:rFonts w:ascii="Times New Roman" w:hAnsi="Times New Roman" w:cs="Times New Roman"/>
          <w:sz w:val="28"/>
          <w:szCs w:val="28"/>
        </w:rPr>
        <w:t>,</w:t>
      </w:r>
      <w:r w:rsidR="008B3E44" w:rsidRPr="000D50F8">
        <w:rPr>
          <w:rFonts w:ascii="Times New Roman" w:hAnsi="Times New Roman" w:cs="Times New Roman"/>
          <w:sz w:val="28"/>
          <w:szCs w:val="28"/>
        </w:rPr>
        <w:t>57</w:t>
      </w:r>
      <w:r w:rsidR="007718B2" w:rsidRPr="000D50F8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="008B3E44" w:rsidRPr="000D50F8">
        <w:rPr>
          <w:rFonts w:ascii="Times New Roman" w:hAnsi="Times New Roman" w:cs="Times New Roman"/>
          <w:sz w:val="28"/>
          <w:szCs w:val="28"/>
        </w:rPr>
        <w:t>1047,0</w:t>
      </w:r>
      <w:r w:rsidRPr="000D50F8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C31613">
        <w:rPr>
          <w:rFonts w:ascii="Times New Roman" w:hAnsi="Times New Roman" w:cs="Times New Roman"/>
          <w:sz w:val="28"/>
          <w:szCs w:val="28"/>
        </w:rPr>
        <w:t>.</w:t>
      </w:r>
      <w:r w:rsidRPr="000D50F8">
        <w:rPr>
          <w:rFonts w:ascii="Times New Roman" w:hAnsi="Times New Roman" w:cs="Times New Roman"/>
          <w:sz w:val="28"/>
          <w:szCs w:val="28"/>
        </w:rPr>
        <w:t xml:space="preserve">). </w:t>
      </w:r>
      <w:r w:rsidR="000D50F8" w:rsidRPr="000D50F8">
        <w:rPr>
          <w:rFonts w:ascii="Times New Roman" w:hAnsi="Times New Roman" w:cs="Times New Roman"/>
          <w:sz w:val="28"/>
          <w:szCs w:val="28"/>
        </w:rPr>
        <w:t>Отклонение связано с ростом производства в обрабатывающих отраслях.</w:t>
      </w:r>
    </w:p>
    <w:p w:rsidR="00480A76" w:rsidRPr="00480A76" w:rsidRDefault="00480A76" w:rsidP="00480A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A76">
        <w:rPr>
          <w:rFonts w:ascii="Times New Roman" w:hAnsi="Times New Roman" w:cs="Times New Roman"/>
          <w:sz w:val="28"/>
          <w:szCs w:val="28"/>
        </w:rPr>
        <w:lastRenderedPageBreak/>
        <w:t xml:space="preserve">Ввод в действие жилых домов составил 65,91 тыс. кв. м. общей площади. Относительное отклонение (-8,09 %), абсолютное отклонение (-5,8 тыс. кв. м. общей площади). План по вводу выполнен на 91,91 %. </w:t>
      </w:r>
    </w:p>
    <w:p w:rsidR="00433159" w:rsidRPr="00660A97" w:rsidRDefault="00433159" w:rsidP="0043315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0A97">
        <w:rPr>
          <w:rFonts w:ascii="Times New Roman" w:hAnsi="Times New Roman" w:cs="Times New Roman"/>
          <w:sz w:val="28"/>
          <w:szCs w:val="28"/>
        </w:rPr>
        <w:t>По показателям, характеризующим развитие малого и среднего предпринимательства, включая микропредприятия имеются отклонения фактического значения от прогнозного:</w:t>
      </w:r>
    </w:p>
    <w:p w:rsidR="00433159" w:rsidRPr="00660A97" w:rsidRDefault="00433159" w:rsidP="004331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0A97">
        <w:rPr>
          <w:rFonts w:ascii="Times New Roman" w:hAnsi="Times New Roman" w:cs="Times New Roman"/>
          <w:sz w:val="28"/>
          <w:szCs w:val="28"/>
        </w:rPr>
        <w:t xml:space="preserve">- </w:t>
      </w:r>
      <w:r w:rsidR="00F61C89" w:rsidRPr="00660A97">
        <w:rPr>
          <w:rFonts w:ascii="Times New Roman" w:hAnsi="Times New Roman" w:cs="Times New Roman"/>
          <w:sz w:val="28"/>
          <w:szCs w:val="28"/>
        </w:rPr>
        <w:t>«</w:t>
      </w:r>
      <w:r w:rsidRPr="00660A97">
        <w:rPr>
          <w:rFonts w:ascii="Times New Roman" w:hAnsi="Times New Roman" w:cs="Times New Roman"/>
          <w:sz w:val="28"/>
          <w:szCs w:val="28"/>
        </w:rPr>
        <w:t>количество малых и средних предприятий, включая микропредприятия</w:t>
      </w:r>
      <w:r w:rsidR="00F61C89" w:rsidRPr="00660A97">
        <w:rPr>
          <w:rFonts w:ascii="Times New Roman" w:hAnsi="Times New Roman" w:cs="Times New Roman"/>
          <w:sz w:val="28"/>
          <w:szCs w:val="28"/>
        </w:rPr>
        <w:t>»</w:t>
      </w:r>
      <w:r w:rsidRPr="00660A97">
        <w:rPr>
          <w:rFonts w:ascii="Times New Roman" w:hAnsi="Times New Roman" w:cs="Times New Roman"/>
          <w:sz w:val="28"/>
          <w:szCs w:val="28"/>
        </w:rPr>
        <w:t xml:space="preserve"> (на конец года), относительное отклонение (- </w:t>
      </w:r>
      <w:r w:rsidR="00660A97" w:rsidRPr="00660A97">
        <w:rPr>
          <w:rFonts w:ascii="Times New Roman" w:hAnsi="Times New Roman" w:cs="Times New Roman"/>
          <w:sz w:val="28"/>
          <w:szCs w:val="28"/>
        </w:rPr>
        <w:t>3,1</w:t>
      </w:r>
      <w:r w:rsidRPr="00660A97">
        <w:rPr>
          <w:rFonts w:ascii="Times New Roman" w:hAnsi="Times New Roman" w:cs="Times New Roman"/>
          <w:sz w:val="28"/>
          <w:szCs w:val="28"/>
        </w:rPr>
        <w:t xml:space="preserve"> %), абсолютное отклонение (-</w:t>
      </w:r>
      <w:r w:rsidR="00660A97" w:rsidRPr="00660A97">
        <w:rPr>
          <w:rFonts w:ascii="Times New Roman" w:hAnsi="Times New Roman" w:cs="Times New Roman"/>
          <w:sz w:val="28"/>
          <w:szCs w:val="28"/>
        </w:rPr>
        <w:t xml:space="preserve"> 28</w:t>
      </w:r>
      <w:r w:rsidRPr="00660A97">
        <w:rPr>
          <w:rFonts w:ascii="Times New Roman" w:hAnsi="Times New Roman" w:cs="Times New Roman"/>
          <w:sz w:val="28"/>
          <w:szCs w:val="28"/>
        </w:rPr>
        <w:t xml:space="preserve"> единиц). Снижение показателя произошло в результате исключения налоговым органом из Реестра сведений по </w:t>
      </w:r>
      <w:proofErr w:type="spellStart"/>
      <w:r w:rsidRPr="00660A97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660A97">
        <w:rPr>
          <w:rFonts w:ascii="Times New Roman" w:hAnsi="Times New Roman" w:cs="Times New Roman"/>
          <w:sz w:val="28"/>
          <w:szCs w:val="28"/>
        </w:rPr>
        <w:t xml:space="preserve"> по причине прекращения их деятельности и в связи с непредставлением юридическими лицами сведений, предусмотренных законодательством Российск</w:t>
      </w:r>
      <w:r w:rsidR="00FE217F" w:rsidRPr="00660A97">
        <w:rPr>
          <w:rFonts w:ascii="Times New Roman" w:hAnsi="Times New Roman" w:cs="Times New Roman"/>
          <w:sz w:val="28"/>
          <w:szCs w:val="28"/>
        </w:rPr>
        <w:t>ой Федерации о налогах и сборах;</w:t>
      </w:r>
      <w:r w:rsidRPr="00660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159" w:rsidRPr="00660A97" w:rsidRDefault="00433159" w:rsidP="004331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0A97">
        <w:rPr>
          <w:rFonts w:ascii="Times New Roman" w:hAnsi="Times New Roman" w:cs="Times New Roman"/>
          <w:sz w:val="28"/>
          <w:szCs w:val="28"/>
        </w:rPr>
        <w:t xml:space="preserve">- </w:t>
      </w:r>
      <w:r w:rsidR="00F61C89" w:rsidRPr="00660A97">
        <w:rPr>
          <w:rFonts w:ascii="Times New Roman" w:hAnsi="Times New Roman" w:cs="Times New Roman"/>
          <w:sz w:val="28"/>
          <w:szCs w:val="28"/>
        </w:rPr>
        <w:t>«</w:t>
      </w:r>
      <w:r w:rsidRPr="00660A97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малых и средних предприятий, включая микропредприятия (без внешних совместителей)</w:t>
      </w:r>
      <w:r w:rsidR="00F61C89" w:rsidRPr="00660A97">
        <w:rPr>
          <w:rFonts w:ascii="Times New Roman" w:hAnsi="Times New Roman" w:cs="Times New Roman"/>
          <w:sz w:val="28"/>
          <w:szCs w:val="28"/>
        </w:rPr>
        <w:t>»</w:t>
      </w:r>
      <w:r w:rsidRPr="00660A97">
        <w:rPr>
          <w:rFonts w:ascii="Times New Roman" w:hAnsi="Times New Roman" w:cs="Times New Roman"/>
          <w:sz w:val="28"/>
          <w:szCs w:val="28"/>
        </w:rPr>
        <w:t>, относительное отклонение (</w:t>
      </w:r>
      <w:r w:rsidR="00660A97" w:rsidRPr="00660A97">
        <w:rPr>
          <w:rFonts w:ascii="Times New Roman" w:hAnsi="Times New Roman" w:cs="Times New Roman"/>
          <w:sz w:val="28"/>
          <w:szCs w:val="28"/>
        </w:rPr>
        <w:t>+3,12</w:t>
      </w:r>
      <w:r w:rsidRPr="00660A97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 w:rsidR="00660A97" w:rsidRPr="00660A97">
        <w:rPr>
          <w:rFonts w:ascii="Times New Roman" w:hAnsi="Times New Roman" w:cs="Times New Roman"/>
          <w:sz w:val="28"/>
          <w:szCs w:val="28"/>
        </w:rPr>
        <w:t>+0,21</w:t>
      </w:r>
      <w:r w:rsidRPr="00660A97">
        <w:rPr>
          <w:rFonts w:ascii="Times New Roman" w:hAnsi="Times New Roman" w:cs="Times New Roman"/>
          <w:sz w:val="28"/>
          <w:szCs w:val="28"/>
        </w:rPr>
        <w:t xml:space="preserve"> тыс. чел.). </w:t>
      </w:r>
      <w:r w:rsidR="00660A97" w:rsidRPr="00660A97">
        <w:rPr>
          <w:rFonts w:ascii="Times New Roman" w:hAnsi="Times New Roman" w:cs="Times New Roman"/>
          <w:sz w:val="28"/>
          <w:szCs w:val="28"/>
        </w:rPr>
        <w:t>Рост</w:t>
      </w:r>
      <w:r w:rsidRPr="00660A97">
        <w:rPr>
          <w:rFonts w:ascii="Times New Roman" w:hAnsi="Times New Roman" w:cs="Times New Roman"/>
          <w:sz w:val="28"/>
          <w:szCs w:val="28"/>
        </w:rPr>
        <w:t xml:space="preserve"> показателя произош</w:t>
      </w:r>
      <w:r w:rsidR="00660A97" w:rsidRPr="00660A97">
        <w:rPr>
          <w:rFonts w:ascii="Times New Roman" w:hAnsi="Times New Roman" w:cs="Times New Roman"/>
          <w:sz w:val="28"/>
          <w:szCs w:val="28"/>
        </w:rPr>
        <w:t>ел</w:t>
      </w:r>
      <w:r w:rsidRPr="00660A97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660A97" w:rsidRPr="00660A97">
        <w:rPr>
          <w:rFonts w:ascii="Times New Roman" w:hAnsi="Times New Roman" w:cs="Times New Roman"/>
          <w:sz w:val="28"/>
          <w:szCs w:val="28"/>
        </w:rPr>
        <w:t>увеличен</w:t>
      </w:r>
      <w:r w:rsidRPr="00660A97">
        <w:rPr>
          <w:rFonts w:ascii="Times New Roman" w:hAnsi="Times New Roman" w:cs="Times New Roman"/>
          <w:sz w:val="28"/>
          <w:szCs w:val="28"/>
        </w:rPr>
        <w:t xml:space="preserve">ия численности работников (без внешних совместителей) </w:t>
      </w:r>
      <w:r w:rsidR="00660A97" w:rsidRPr="00660A97">
        <w:rPr>
          <w:rFonts w:ascii="Times New Roman" w:hAnsi="Times New Roman" w:cs="Times New Roman"/>
          <w:sz w:val="28"/>
          <w:szCs w:val="28"/>
        </w:rPr>
        <w:t xml:space="preserve">малых и средних </w:t>
      </w:r>
      <w:r w:rsidRPr="00660A97">
        <w:rPr>
          <w:rFonts w:ascii="Times New Roman" w:hAnsi="Times New Roman" w:cs="Times New Roman"/>
          <w:sz w:val="28"/>
          <w:szCs w:val="28"/>
        </w:rPr>
        <w:t>предприяти</w:t>
      </w:r>
      <w:r w:rsidR="00660A97" w:rsidRPr="00660A97">
        <w:rPr>
          <w:rFonts w:ascii="Times New Roman" w:hAnsi="Times New Roman" w:cs="Times New Roman"/>
          <w:sz w:val="28"/>
          <w:szCs w:val="28"/>
        </w:rPr>
        <w:t>й.</w:t>
      </w:r>
    </w:p>
    <w:p w:rsidR="00E1591B" w:rsidRPr="00660A97" w:rsidRDefault="00E1591B" w:rsidP="00E1591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0A97">
        <w:rPr>
          <w:rFonts w:ascii="Times New Roman" w:hAnsi="Times New Roman" w:cs="Times New Roman"/>
          <w:sz w:val="28"/>
          <w:szCs w:val="28"/>
        </w:rPr>
        <w:t xml:space="preserve">По показателю </w:t>
      </w:r>
      <w:r w:rsidR="00F61C89" w:rsidRPr="00660A97">
        <w:rPr>
          <w:rFonts w:ascii="Times New Roman" w:hAnsi="Times New Roman" w:cs="Times New Roman"/>
          <w:sz w:val="28"/>
          <w:szCs w:val="28"/>
        </w:rPr>
        <w:t>«</w:t>
      </w:r>
      <w:r w:rsidRPr="00660A97">
        <w:rPr>
          <w:rFonts w:ascii="Times New Roman" w:hAnsi="Times New Roman" w:cs="Times New Roman"/>
          <w:sz w:val="28"/>
          <w:szCs w:val="28"/>
        </w:rPr>
        <w:t>о</w:t>
      </w:r>
      <w:r w:rsidR="00433159" w:rsidRPr="00660A97">
        <w:rPr>
          <w:rFonts w:ascii="Times New Roman" w:hAnsi="Times New Roman" w:cs="Times New Roman"/>
          <w:sz w:val="28"/>
          <w:szCs w:val="28"/>
        </w:rPr>
        <w:t>борот малых и средних предприятий, включая микропредприятия</w:t>
      </w:r>
      <w:r w:rsidR="00F61C89" w:rsidRPr="00660A97">
        <w:rPr>
          <w:rFonts w:ascii="Times New Roman" w:hAnsi="Times New Roman" w:cs="Times New Roman"/>
          <w:sz w:val="28"/>
          <w:szCs w:val="28"/>
        </w:rPr>
        <w:t>»</w:t>
      </w:r>
      <w:r w:rsidR="00433159" w:rsidRPr="00660A97">
        <w:rPr>
          <w:rFonts w:ascii="Times New Roman" w:hAnsi="Times New Roman" w:cs="Times New Roman"/>
          <w:sz w:val="28"/>
          <w:szCs w:val="28"/>
        </w:rPr>
        <w:t xml:space="preserve"> </w:t>
      </w:r>
      <w:r w:rsidRPr="00660A97">
        <w:rPr>
          <w:rFonts w:ascii="Times New Roman" w:hAnsi="Times New Roman" w:cs="Times New Roman"/>
          <w:sz w:val="28"/>
          <w:szCs w:val="28"/>
        </w:rPr>
        <w:t>прогнозная оценка оказалась наиболее точной, отклонений не выявлено.</w:t>
      </w:r>
    </w:p>
    <w:p w:rsidR="00515DC7" w:rsidRPr="0023447E" w:rsidRDefault="00515DC7" w:rsidP="00515DC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47E">
        <w:rPr>
          <w:rFonts w:ascii="Times New Roman" w:hAnsi="Times New Roman" w:cs="Times New Roman"/>
          <w:sz w:val="28"/>
          <w:szCs w:val="28"/>
        </w:rPr>
        <w:t xml:space="preserve">В целом по показателям </w:t>
      </w:r>
      <w:r w:rsidR="00F61C89" w:rsidRPr="0023447E">
        <w:rPr>
          <w:rFonts w:ascii="Times New Roman" w:hAnsi="Times New Roman" w:cs="Times New Roman"/>
          <w:sz w:val="28"/>
          <w:szCs w:val="28"/>
        </w:rPr>
        <w:t>«</w:t>
      </w:r>
      <w:r w:rsidRPr="0023447E">
        <w:rPr>
          <w:rFonts w:ascii="Times New Roman" w:hAnsi="Times New Roman" w:cs="Times New Roman"/>
          <w:sz w:val="28"/>
          <w:szCs w:val="28"/>
        </w:rPr>
        <w:t>труд и занятость</w:t>
      </w:r>
      <w:r w:rsidR="00F61C89" w:rsidRPr="0023447E">
        <w:rPr>
          <w:rFonts w:ascii="Times New Roman" w:hAnsi="Times New Roman" w:cs="Times New Roman"/>
          <w:sz w:val="28"/>
          <w:szCs w:val="28"/>
        </w:rPr>
        <w:t>»</w:t>
      </w:r>
      <w:r w:rsidRPr="0023447E">
        <w:rPr>
          <w:rFonts w:ascii="Times New Roman" w:hAnsi="Times New Roman" w:cs="Times New Roman"/>
          <w:sz w:val="28"/>
          <w:szCs w:val="28"/>
        </w:rPr>
        <w:t xml:space="preserve">, </w:t>
      </w:r>
      <w:r w:rsidR="00F61C89" w:rsidRPr="0023447E">
        <w:rPr>
          <w:rFonts w:ascii="Times New Roman" w:hAnsi="Times New Roman" w:cs="Times New Roman"/>
          <w:sz w:val="28"/>
          <w:szCs w:val="28"/>
        </w:rPr>
        <w:t>«</w:t>
      </w:r>
      <w:r w:rsidRPr="0023447E">
        <w:rPr>
          <w:rFonts w:ascii="Times New Roman" w:hAnsi="Times New Roman" w:cs="Times New Roman"/>
          <w:sz w:val="28"/>
          <w:szCs w:val="28"/>
        </w:rPr>
        <w:t>развитие социальной сферы</w:t>
      </w:r>
      <w:r w:rsidR="00F61C89" w:rsidRPr="0023447E">
        <w:rPr>
          <w:rFonts w:ascii="Times New Roman" w:hAnsi="Times New Roman" w:cs="Times New Roman"/>
          <w:sz w:val="28"/>
          <w:szCs w:val="28"/>
        </w:rPr>
        <w:t>»</w:t>
      </w:r>
      <w:r w:rsidRPr="0023447E">
        <w:rPr>
          <w:rFonts w:ascii="Times New Roman" w:hAnsi="Times New Roman" w:cs="Times New Roman"/>
          <w:sz w:val="28"/>
          <w:szCs w:val="28"/>
        </w:rPr>
        <w:t xml:space="preserve"> отклонения фактического значения от прогнозного </w:t>
      </w:r>
      <w:r w:rsidR="002E0F9E" w:rsidRPr="0023447E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3447E">
        <w:rPr>
          <w:rFonts w:ascii="Times New Roman" w:hAnsi="Times New Roman" w:cs="Times New Roman"/>
          <w:sz w:val="28"/>
          <w:szCs w:val="28"/>
        </w:rPr>
        <w:t>незначительны. Наибольшее отклонение с положительной динамикой было допущено:</w:t>
      </w:r>
    </w:p>
    <w:p w:rsidR="000D50F8" w:rsidRPr="000D50F8" w:rsidRDefault="000D50F8" w:rsidP="000D50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0F8">
        <w:rPr>
          <w:rFonts w:ascii="Times New Roman" w:hAnsi="Times New Roman" w:cs="Times New Roman"/>
          <w:sz w:val="28"/>
          <w:szCs w:val="28"/>
        </w:rPr>
        <w:t>- «численность детей в дошкольных образовательных учреждениях», относительное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Pr="000D50F8">
        <w:rPr>
          <w:rFonts w:ascii="Times New Roman" w:hAnsi="Times New Roman" w:cs="Times New Roman"/>
          <w:sz w:val="28"/>
          <w:szCs w:val="28"/>
        </w:rPr>
        <w:t>4,85 %), абсолютное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Pr="000D50F8">
        <w:rPr>
          <w:rFonts w:ascii="Times New Roman" w:hAnsi="Times New Roman" w:cs="Times New Roman"/>
          <w:sz w:val="28"/>
          <w:szCs w:val="28"/>
        </w:rPr>
        <w:t>282,0 тыс. чел.);</w:t>
      </w:r>
    </w:p>
    <w:p w:rsidR="00EB4926" w:rsidRPr="00EB4926" w:rsidRDefault="00EB4926" w:rsidP="00EB492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926">
        <w:rPr>
          <w:rFonts w:ascii="Times New Roman" w:hAnsi="Times New Roman" w:cs="Times New Roman"/>
          <w:sz w:val="28"/>
          <w:szCs w:val="28"/>
        </w:rPr>
        <w:t>- «уровень зарегистрированной безработицы (на конец года)», относительное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Pr="00EB4926">
        <w:rPr>
          <w:rFonts w:ascii="Times New Roman" w:hAnsi="Times New Roman" w:cs="Times New Roman"/>
          <w:sz w:val="28"/>
          <w:szCs w:val="28"/>
        </w:rPr>
        <w:t>8,00 %), абсолютное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Pr="00EB4926">
        <w:rPr>
          <w:rFonts w:ascii="Times New Roman" w:hAnsi="Times New Roman" w:cs="Times New Roman"/>
          <w:sz w:val="28"/>
          <w:szCs w:val="28"/>
        </w:rPr>
        <w:t>0,02 %);</w:t>
      </w:r>
    </w:p>
    <w:p w:rsidR="000D50F8" w:rsidRPr="000D50F8" w:rsidRDefault="00515DC7" w:rsidP="00515DC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0F8">
        <w:rPr>
          <w:rFonts w:ascii="Times New Roman" w:hAnsi="Times New Roman" w:cs="Times New Roman"/>
          <w:sz w:val="28"/>
          <w:szCs w:val="28"/>
        </w:rPr>
        <w:t xml:space="preserve">- </w:t>
      </w:r>
      <w:r w:rsidR="000D50F8" w:rsidRPr="000D50F8">
        <w:rPr>
          <w:rFonts w:ascii="Times New Roman" w:hAnsi="Times New Roman" w:cs="Times New Roman"/>
          <w:sz w:val="28"/>
          <w:szCs w:val="28"/>
        </w:rPr>
        <w:t>«обеспеченность дошкольными образовательными учреждениями», относительное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="000D50F8" w:rsidRPr="000D50F8">
        <w:rPr>
          <w:rFonts w:ascii="Times New Roman" w:hAnsi="Times New Roman" w:cs="Times New Roman"/>
          <w:sz w:val="28"/>
          <w:szCs w:val="28"/>
        </w:rPr>
        <w:t>16,43 %), абсолютное отклонение (</w:t>
      </w:r>
      <w:r w:rsidR="00FD1A06">
        <w:rPr>
          <w:rFonts w:ascii="Times New Roman" w:hAnsi="Times New Roman" w:cs="Times New Roman"/>
          <w:sz w:val="28"/>
          <w:szCs w:val="28"/>
        </w:rPr>
        <w:t>+</w:t>
      </w:r>
      <w:r w:rsidR="000D50F8" w:rsidRPr="000D50F8">
        <w:rPr>
          <w:rFonts w:ascii="Times New Roman" w:hAnsi="Times New Roman" w:cs="Times New Roman"/>
          <w:sz w:val="28"/>
          <w:szCs w:val="28"/>
        </w:rPr>
        <w:t xml:space="preserve">148,0 тыс. чел.).   </w:t>
      </w:r>
    </w:p>
    <w:p w:rsidR="00515DC7" w:rsidRPr="00EB4926" w:rsidRDefault="00515DC7" w:rsidP="00515DC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926">
        <w:rPr>
          <w:rFonts w:ascii="Times New Roman" w:hAnsi="Times New Roman" w:cs="Times New Roman"/>
          <w:sz w:val="28"/>
          <w:szCs w:val="28"/>
        </w:rPr>
        <w:t>Отклонение с отрицательной динамикой было допущено по показател</w:t>
      </w:r>
      <w:r w:rsidR="00EB4926" w:rsidRPr="00EB4926">
        <w:rPr>
          <w:rFonts w:ascii="Times New Roman" w:hAnsi="Times New Roman" w:cs="Times New Roman"/>
          <w:sz w:val="28"/>
          <w:szCs w:val="28"/>
        </w:rPr>
        <w:t>ю</w:t>
      </w:r>
      <w:r w:rsidRPr="00EB4926">
        <w:rPr>
          <w:rFonts w:ascii="Times New Roman" w:hAnsi="Times New Roman" w:cs="Times New Roman"/>
          <w:sz w:val="28"/>
          <w:szCs w:val="28"/>
        </w:rPr>
        <w:t>:</w:t>
      </w:r>
    </w:p>
    <w:p w:rsidR="00EB4926" w:rsidRPr="00EB4926" w:rsidRDefault="00EB4926" w:rsidP="00EB492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926">
        <w:rPr>
          <w:rFonts w:ascii="Times New Roman" w:hAnsi="Times New Roman" w:cs="Times New Roman"/>
          <w:sz w:val="28"/>
          <w:szCs w:val="28"/>
        </w:rPr>
        <w:t>- «номинальная начисленная среднемесячная заработная плата работников организаций», относительное отклонение (-0,39 %), абсолютное отклонение (-207,80 руб</w:t>
      </w:r>
      <w:r w:rsidR="00C31613">
        <w:rPr>
          <w:rFonts w:ascii="Times New Roman" w:hAnsi="Times New Roman" w:cs="Times New Roman"/>
          <w:sz w:val="28"/>
          <w:szCs w:val="28"/>
        </w:rPr>
        <w:t>.</w:t>
      </w:r>
      <w:r w:rsidRPr="00EB4926">
        <w:rPr>
          <w:rFonts w:ascii="Times New Roman" w:hAnsi="Times New Roman" w:cs="Times New Roman"/>
          <w:sz w:val="28"/>
          <w:szCs w:val="28"/>
        </w:rPr>
        <w:t>/мес.).</w:t>
      </w:r>
    </w:p>
    <w:p w:rsidR="002B48D4" w:rsidRPr="00C91B4C" w:rsidRDefault="0033207B" w:rsidP="00734F9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6AAE">
        <w:rPr>
          <w:rFonts w:ascii="Times New Roman" w:hAnsi="Times New Roman" w:cs="Times New Roman"/>
          <w:sz w:val="28"/>
          <w:szCs w:val="28"/>
        </w:rPr>
        <w:t xml:space="preserve">Согласно информации Управления федеральной службы государственной статистики по </w:t>
      </w:r>
      <w:proofErr w:type="spellStart"/>
      <w:r w:rsidRPr="00F26AAE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F26AAE">
        <w:rPr>
          <w:rFonts w:ascii="Times New Roman" w:hAnsi="Times New Roman" w:cs="Times New Roman"/>
          <w:sz w:val="28"/>
          <w:szCs w:val="28"/>
        </w:rPr>
        <w:t xml:space="preserve"> – Кавказскому федеральному округу </w:t>
      </w:r>
      <w:r w:rsidR="00F26AAE" w:rsidRPr="00F26AAE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26AAE">
        <w:rPr>
          <w:rFonts w:ascii="Times New Roman" w:hAnsi="Times New Roman" w:cs="Times New Roman"/>
          <w:sz w:val="28"/>
          <w:szCs w:val="28"/>
        </w:rPr>
        <w:t>численност</w:t>
      </w:r>
      <w:r w:rsidR="00F26AAE" w:rsidRPr="00F26AAE">
        <w:rPr>
          <w:rFonts w:ascii="Times New Roman" w:hAnsi="Times New Roman" w:cs="Times New Roman"/>
          <w:sz w:val="28"/>
          <w:szCs w:val="28"/>
        </w:rPr>
        <w:t>и</w:t>
      </w:r>
      <w:r w:rsidRPr="00F26AAE">
        <w:rPr>
          <w:rFonts w:ascii="Times New Roman" w:hAnsi="Times New Roman" w:cs="Times New Roman"/>
          <w:sz w:val="28"/>
          <w:szCs w:val="28"/>
        </w:rPr>
        <w:t xml:space="preserve"> населения (среднегодовая) Минераловодского </w:t>
      </w:r>
      <w:r w:rsidR="00F26AAE" w:rsidRPr="00F26AAE">
        <w:rPr>
          <w:rFonts w:ascii="Times New Roman" w:hAnsi="Times New Roman" w:cs="Times New Roman"/>
          <w:sz w:val="28"/>
          <w:szCs w:val="28"/>
        </w:rPr>
        <w:t>муниципально</w:t>
      </w:r>
      <w:r w:rsidRPr="00F26AAE">
        <w:rPr>
          <w:rFonts w:ascii="Times New Roman" w:hAnsi="Times New Roman" w:cs="Times New Roman"/>
          <w:sz w:val="28"/>
          <w:szCs w:val="28"/>
        </w:rPr>
        <w:t>го округа Ставропольского края по состоянию на 01.01.202</w:t>
      </w:r>
      <w:r w:rsidR="00F26AAE" w:rsidRPr="00F26AAE">
        <w:rPr>
          <w:rFonts w:ascii="Times New Roman" w:hAnsi="Times New Roman" w:cs="Times New Roman"/>
          <w:sz w:val="28"/>
          <w:szCs w:val="28"/>
        </w:rPr>
        <w:t>4</w:t>
      </w:r>
      <w:r w:rsidRPr="00F26AAE">
        <w:rPr>
          <w:rFonts w:ascii="Times New Roman" w:hAnsi="Times New Roman" w:cs="Times New Roman"/>
          <w:sz w:val="28"/>
          <w:szCs w:val="28"/>
        </w:rPr>
        <w:t xml:space="preserve"> составила 1</w:t>
      </w:r>
      <w:r w:rsidR="00734F98" w:rsidRPr="00F26AAE">
        <w:rPr>
          <w:rFonts w:ascii="Times New Roman" w:hAnsi="Times New Roman" w:cs="Times New Roman"/>
          <w:sz w:val="28"/>
          <w:szCs w:val="28"/>
        </w:rPr>
        <w:t>3</w:t>
      </w:r>
      <w:r w:rsidR="00F26AAE" w:rsidRPr="00F26AAE">
        <w:rPr>
          <w:rFonts w:ascii="Times New Roman" w:hAnsi="Times New Roman" w:cs="Times New Roman"/>
          <w:sz w:val="28"/>
          <w:szCs w:val="28"/>
        </w:rPr>
        <w:t>0</w:t>
      </w:r>
      <w:r w:rsidRPr="00F26AAE">
        <w:rPr>
          <w:rFonts w:ascii="Times New Roman" w:hAnsi="Times New Roman" w:cs="Times New Roman"/>
          <w:sz w:val="28"/>
          <w:szCs w:val="28"/>
        </w:rPr>
        <w:t>,</w:t>
      </w:r>
      <w:r w:rsidR="00F26AAE" w:rsidRPr="00F26AAE">
        <w:rPr>
          <w:rFonts w:ascii="Times New Roman" w:hAnsi="Times New Roman" w:cs="Times New Roman"/>
          <w:sz w:val="28"/>
          <w:szCs w:val="28"/>
        </w:rPr>
        <w:t>87</w:t>
      </w:r>
      <w:r w:rsidRPr="00F26AAE">
        <w:rPr>
          <w:rFonts w:ascii="Times New Roman" w:hAnsi="Times New Roman" w:cs="Times New Roman"/>
          <w:sz w:val="28"/>
          <w:szCs w:val="28"/>
        </w:rPr>
        <w:t xml:space="preserve"> тыс. человек, </w:t>
      </w:r>
      <w:r w:rsidR="00734F98" w:rsidRPr="00F26AAE">
        <w:rPr>
          <w:rFonts w:ascii="Times New Roman" w:hAnsi="Times New Roman" w:cs="Times New Roman"/>
          <w:sz w:val="28"/>
          <w:szCs w:val="28"/>
        </w:rPr>
        <w:t xml:space="preserve">отклонение от прогнозного значения составляет: </w:t>
      </w:r>
      <w:r w:rsidR="00734F98" w:rsidRPr="00C91B4C">
        <w:rPr>
          <w:rFonts w:ascii="Times New Roman" w:hAnsi="Times New Roman" w:cs="Times New Roman"/>
          <w:sz w:val="28"/>
          <w:szCs w:val="28"/>
        </w:rPr>
        <w:t>относительное отклонение (-</w:t>
      </w:r>
      <w:r w:rsidR="00F26AAE" w:rsidRPr="00C91B4C">
        <w:rPr>
          <w:rFonts w:ascii="Times New Roman" w:hAnsi="Times New Roman" w:cs="Times New Roman"/>
          <w:sz w:val="28"/>
          <w:szCs w:val="28"/>
        </w:rPr>
        <w:t>0</w:t>
      </w:r>
      <w:r w:rsidR="00734F98" w:rsidRPr="00C91B4C">
        <w:rPr>
          <w:rFonts w:ascii="Times New Roman" w:hAnsi="Times New Roman" w:cs="Times New Roman"/>
          <w:sz w:val="28"/>
          <w:szCs w:val="28"/>
        </w:rPr>
        <w:t>,</w:t>
      </w:r>
      <w:r w:rsidR="00F26AAE" w:rsidRPr="00C91B4C">
        <w:rPr>
          <w:rFonts w:ascii="Times New Roman" w:hAnsi="Times New Roman" w:cs="Times New Roman"/>
          <w:sz w:val="28"/>
          <w:szCs w:val="28"/>
        </w:rPr>
        <w:t>0</w:t>
      </w:r>
      <w:r w:rsidR="00734F98" w:rsidRPr="00C91B4C">
        <w:rPr>
          <w:rFonts w:ascii="Times New Roman" w:hAnsi="Times New Roman" w:cs="Times New Roman"/>
          <w:sz w:val="28"/>
          <w:szCs w:val="28"/>
        </w:rPr>
        <w:t xml:space="preserve">2 %), абсолютное отклонение </w:t>
      </w:r>
      <w:r w:rsidR="00A64DC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A64DC9">
        <w:rPr>
          <w:rFonts w:ascii="Times New Roman" w:hAnsi="Times New Roman" w:cs="Times New Roman"/>
          <w:sz w:val="28"/>
          <w:szCs w:val="28"/>
        </w:rPr>
        <w:t xml:space="preserve">   </w:t>
      </w:r>
      <w:r w:rsidR="00734F98" w:rsidRPr="00C91B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34F98" w:rsidRPr="00C91B4C">
        <w:rPr>
          <w:rFonts w:ascii="Times New Roman" w:hAnsi="Times New Roman" w:cs="Times New Roman"/>
          <w:sz w:val="28"/>
          <w:szCs w:val="28"/>
        </w:rPr>
        <w:t>-</w:t>
      </w:r>
      <w:r w:rsidR="00F26AAE" w:rsidRPr="00C91B4C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734F98" w:rsidRPr="00C91B4C">
        <w:rPr>
          <w:rFonts w:ascii="Times New Roman" w:hAnsi="Times New Roman" w:cs="Times New Roman"/>
          <w:sz w:val="28"/>
          <w:szCs w:val="28"/>
        </w:rPr>
        <w:t>,</w:t>
      </w:r>
      <w:r w:rsidR="00F26AAE" w:rsidRPr="00C91B4C">
        <w:rPr>
          <w:rFonts w:ascii="Times New Roman" w:hAnsi="Times New Roman" w:cs="Times New Roman"/>
          <w:sz w:val="28"/>
          <w:szCs w:val="28"/>
        </w:rPr>
        <w:t>03</w:t>
      </w:r>
      <w:r w:rsidR="00734F98" w:rsidRPr="00C91B4C">
        <w:rPr>
          <w:rFonts w:ascii="Times New Roman" w:hAnsi="Times New Roman" w:cs="Times New Roman"/>
          <w:sz w:val="28"/>
          <w:szCs w:val="28"/>
        </w:rPr>
        <w:t xml:space="preserve"> тыс. чел.). Основной причиной сокращения численности населения Минераловодского </w:t>
      </w:r>
      <w:r w:rsidR="00FD1A06" w:rsidRPr="00C91B4C">
        <w:rPr>
          <w:rFonts w:ascii="Times New Roman" w:hAnsi="Times New Roman" w:cs="Times New Roman"/>
          <w:sz w:val="28"/>
          <w:szCs w:val="28"/>
        </w:rPr>
        <w:t>муниципальн</w:t>
      </w:r>
      <w:r w:rsidR="00734F98" w:rsidRPr="00C91B4C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FD1A06" w:rsidRPr="00C91B4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734F98" w:rsidRPr="00C91B4C">
        <w:rPr>
          <w:rFonts w:ascii="Times New Roman" w:hAnsi="Times New Roman" w:cs="Times New Roman"/>
          <w:sz w:val="28"/>
          <w:szCs w:val="28"/>
        </w:rPr>
        <w:t>является миграционный отток населения (-</w:t>
      </w:r>
      <w:r w:rsidR="00F26AAE" w:rsidRPr="00C91B4C">
        <w:rPr>
          <w:rFonts w:ascii="Times New Roman" w:hAnsi="Times New Roman" w:cs="Times New Roman"/>
          <w:sz w:val="28"/>
          <w:szCs w:val="28"/>
        </w:rPr>
        <w:t>270</w:t>
      </w:r>
      <w:r w:rsidR="00734F98" w:rsidRPr="00C91B4C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2B48D4" w:rsidRPr="00C91B4C">
        <w:rPr>
          <w:rFonts w:ascii="Times New Roman" w:hAnsi="Times New Roman" w:cs="Times New Roman"/>
          <w:sz w:val="28"/>
          <w:szCs w:val="28"/>
        </w:rPr>
        <w:t>.</w:t>
      </w:r>
    </w:p>
    <w:p w:rsidR="00FD1A06" w:rsidRPr="00C91B4C" w:rsidRDefault="00FD1A06" w:rsidP="00734F9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1B4C">
        <w:rPr>
          <w:rFonts w:ascii="Times New Roman" w:hAnsi="Times New Roman" w:cs="Times New Roman"/>
          <w:sz w:val="28"/>
          <w:szCs w:val="28"/>
        </w:rPr>
        <w:t>По показателям «численность населения трудоспособного возраста», «численность населения старше трудоспособного возраста», «ожидаемая продолжительность жизни при рождении», «коэффициент естественного прироста населения», «миграционный прирост (убыль)», «оборот малых и средних предприятий, включая микропредприятия», «обеспеченность учреждениями культурно-досугового типа» прогнозная оценка оказалась наиболее точной, отклонений не выявлено</w:t>
      </w:r>
      <w:r w:rsidR="00C91B4C">
        <w:rPr>
          <w:rFonts w:ascii="Times New Roman" w:hAnsi="Times New Roman" w:cs="Times New Roman"/>
          <w:sz w:val="28"/>
          <w:szCs w:val="28"/>
        </w:rPr>
        <w:t>.</w:t>
      </w:r>
    </w:p>
    <w:p w:rsidR="00E44A2E" w:rsidRDefault="00E44A2E" w:rsidP="00E44A2E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>По результатам мониторинга фактическое исполнение доходной части бюджета Минераловодского городского округа Ставропольского края составило 4447,42 млн. руб</w:t>
      </w:r>
      <w:r w:rsidR="00C31613">
        <w:rPr>
          <w:rStyle w:val="a7"/>
          <w:color w:val="000000"/>
          <w:sz w:val="28"/>
          <w:szCs w:val="28"/>
        </w:rPr>
        <w:t>.</w:t>
      </w:r>
      <w:r>
        <w:rPr>
          <w:rStyle w:val="a7"/>
          <w:color w:val="000000"/>
          <w:sz w:val="28"/>
          <w:szCs w:val="28"/>
        </w:rPr>
        <w:t xml:space="preserve">, что на 156,2 млн. </w:t>
      </w:r>
      <w:bookmarkStart w:id="0" w:name="_GoBack"/>
      <w:r>
        <w:rPr>
          <w:rStyle w:val="a7"/>
          <w:color w:val="000000"/>
          <w:sz w:val="28"/>
          <w:szCs w:val="28"/>
        </w:rPr>
        <w:t>руб</w:t>
      </w:r>
      <w:r w:rsidR="00C31613">
        <w:rPr>
          <w:rStyle w:val="a7"/>
          <w:color w:val="000000"/>
          <w:sz w:val="28"/>
          <w:szCs w:val="28"/>
        </w:rPr>
        <w:t>.</w:t>
      </w:r>
      <w:bookmarkEnd w:id="0"/>
      <w:r>
        <w:rPr>
          <w:rStyle w:val="a7"/>
          <w:color w:val="000000"/>
          <w:sz w:val="28"/>
          <w:szCs w:val="28"/>
        </w:rPr>
        <w:t xml:space="preserve"> или на 3,39 % меньше прогнозной оценки поступлений за 2023 год. При этом фактическое поступление в местный бюджет налоговых и неналоговых доходов на 48,89 млн. руб</w:t>
      </w:r>
      <w:r w:rsidR="00C31613">
        <w:rPr>
          <w:rStyle w:val="a7"/>
          <w:color w:val="000000"/>
          <w:sz w:val="28"/>
          <w:szCs w:val="28"/>
        </w:rPr>
        <w:t>.</w:t>
      </w:r>
      <w:r>
        <w:rPr>
          <w:rStyle w:val="a7"/>
          <w:color w:val="000000"/>
          <w:sz w:val="28"/>
          <w:szCs w:val="28"/>
        </w:rPr>
        <w:t xml:space="preserve"> или 4,31% больше, чем прогнозировалось получить.</w:t>
      </w:r>
    </w:p>
    <w:p w:rsidR="00E44A2E" w:rsidRDefault="00E44A2E" w:rsidP="00E44A2E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  <w:r w:rsidRPr="00B866A8">
        <w:rPr>
          <w:rStyle w:val="a7"/>
          <w:color w:val="000000"/>
          <w:sz w:val="28"/>
          <w:szCs w:val="28"/>
        </w:rPr>
        <w:t xml:space="preserve">Фактические поступления </w:t>
      </w:r>
      <w:r>
        <w:rPr>
          <w:rStyle w:val="a7"/>
          <w:color w:val="000000"/>
          <w:sz w:val="28"/>
          <w:szCs w:val="28"/>
        </w:rPr>
        <w:t>по налоговым доходам перевыполнены на 47,27 млн. руб</w:t>
      </w:r>
      <w:r w:rsidR="00C31613">
        <w:rPr>
          <w:rStyle w:val="a7"/>
          <w:color w:val="000000"/>
          <w:sz w:val="28"/>
          <w:szCs w:val="28"/>
        </w:rPr>
        <w:t>.</w:t>
      </w:r>
      <w:r>
        <w:rPr>
          <w:rStyle w:val="a7"/>
          <w:color w:val="000000"/>
          <w:sz w:val="28"/>
          <w:szCs w:val="28"/>
        </w:rPr>
        <w:t xml:space="preserve"> или на 4,95 %, в основном за счет увеличения поступлений по налогу на доходы физических лиц и имущественным налогам.</w:t>
      </w:r>
    </w:p>
    <w:p w:rsidR="00E44A2E" w:rsidRDefault="00E44A2E" w:rsidP="00E44A2E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  <w:r w:rsidRPr="00212A00">
        <w:rPr>
          <w:rStyle w:val="a7"/>
          <w:color w:val="000000"/>
          <w:sz w:val="28"/>
          <w:szCs w:val="28"/>
        </w:rPr>
        <w:t xml:space="preserve">Увеличение поступлений </w:t>
      </w:r>
      <w:r>
        <w:rPr>
          <w:rStyle w:val="a7"/>
          <w:color w:val="000000"/>
          <w:sz w:val="28"/>
          <w:szCs w:val="28"/>
        </w:rPr>
        <w:t xml:space="preserve">по налогу на доходы физических лиц </w:t>
      </w:r>
      <w:r w:rsidRPr="00212A00">
        <w:rPr>
          <w:rStyle w:val="a7"/>
          <w:color w:val="000000"/>
          <w:sz w:val="28"/>
          <w:szCs w:val="28"/>
        </w:rPr>
        <w:t>обусловлено ростом налогооблагаемой базы в связи с индексацией с 01.10.2023</w:t>
      </w:r>
      <w:r>
        <w:rPr>
          <w:rStyle w:val="a7"/>
          <w:color w:val="000000"/>
          <w:sz w:val="28"/>
          <w:szCs w:val="28"/>
        </w:rPr>
        <w:t>г.</w:t>
      </w:r>
      <w:r w:rsidRPr="00212A00">
        <w:rPr>
          <w:rStyle w:val="a7"/>
          <w:color w:val="000000"/>
          <w:sz w:val="28"/>
          <w:szCs w:val="28"/>
        </w:rPr>
        <w:t xml:space="preserve"> заработной платы работников бюджетной сферы, реализацией на территории округа инфраструктурных проектов, вводом новых производственных мощностей и реконструкцией хозяйствующих субъектов.</w:t>
      </w:r>
    </w:p>
    <w:p w:rsidR="00E44A2E" w:rsidRDefault="00E44A2E" w:rsidP="00E44A2E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  <w:r w:rsidRPr="00455CB4">
        <w:rPr>
          <w:rStyle w:val="a7"/>
          <w:color w:val="000000"/>
          <w:sz w:val="28"/>
          <w:szCs w:val="28"/>
        </w:rPr>
        <w:t>Увеличение поступлений относительно оценки по имущественным налогам обусловлено увеличением количества объектов недвижимости, включенных в перечень, определяемый в соответствии с пунктом 7 статьи 378.2 Налогового кодекса РФ и облагаемых по ставке 2%, увеличением кадастровой стоимости земельных участков и снижением недоимки</w:t>
      </w:r>
      <w:r>
        <w:rPr>
          <w:rStyle w:val="a7"/>
          <w:color w:val="000000"/>
          <w:sz w:val="28"/>
          <w:szCs w:val="28"/>
        </w:rPr>
        <w:t xml:space="preserve"> по налогу на имущество физических лиц</w:t>
      </w:r>
      <w:r w:rsidRPr="00455CB4">
        <w:rPr>
          <w:rStyle w:val="a7"/>
          <w:color w:val="000000"/>
          <w:sz w:val="28"/>
          <w:szCs w:val="28"/>
        </w:rPr>
        <w:t>.</w:t>
      </w:r>
    </w:p>
    <w:p w:rsidR="00E44A2E" w:rsidRDefault="00E44A2E" w:rsidP="00E44A2E">
      <w:pPr>
        <w:pStyle w:val="a6"/>
        <w:spacing w:after="0"/>
        <w:ind w:firstLine="709"/>
        <w:jc w:val="both"/>
        <w:rPr>
          <w:sz w:val="28"/>
          <w:szCs w:val="28"/>
        </w:rPr>
      </w:pPr>
      <w:r w:rsidRPr="00BF4D2B">
        <w:rPr>
          <w:rStyle w:val="a7"/>
          <w:color w:val="000000"/>
          <w:sz w:val="28"/>
          <w:szCs w:val="28"/>
        </w:rPr>
        <w:t>Объем прогнозных поступлений по неналоговым доходам исполнен на 182,36 млн. руб</w:t>
      </w:r>
      <w:r w:rsidR="00C31613">
        <w:rPr>
          <w:rStyle w:val="a7"/>
          <w:color w:val="000000"/>
          <w:sz w:val="28"/>
          <w:szCs w:val="28"/>
        </w:rPr>
        <w:t>.</w:t>
      </w:r>
      <w:r w:rsidRPr="00BF4D2B">
        <w:rPr>
          <w:rStyle w:val="a7"/>
          <w:color w:val="000000"/>
          <w:sz w:val="28"/>
          <w:szCs w:val="28"/>
        </w:rPr>
        <w:t xml:space="preserve"> или перевыполнение составило </w:t>
      </w:r>
      <w:r>
        <w:rPr>
          <w:rStyle w:val="a7"/>
          <w:color w:val="000000"/>
          <w:sz w:val="28"/>
          <w:szCs w:val="28"/>
        </w:rPr>
        <w:t xml:space="preserve">0,90 </w:t>
      </w:r>
      <w:r w:rsidRPr="00BF4D2B">
        <w:rPr>
          <w:rStyle w:val="a7"/>
          <w:color w:val="000000"/>
          <w:sz w:val="28"/>
          <w:szCs w:val="28"/>
        </w:rPr>
        <w:t>%.</w:t>
      </w:r>
      <w:r>
        <w:rPr>
          <w:rStyle w:val="a7"/>
          <w:color w:val="000000"/>
          <w:sz w:val="28"/>
          <w:szCs w:val="28"/>
        </w:rPr>
        <w:t xml:space="preserve"> </w:t>
      </w:r>
    </w:p>
    <w:p w:rsidR="00E44A2E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Фактические поступления по неналоговым доходам перевыполнены на 1,62 млн. руб</w:t>
      </w:r>
      <w:r w:rsidR="00C316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в основном за счёт доходов</w:t>
      </w:r>
      <w:r w:rsidRPr="00BF4D2B">
        <w:rPr>
          <w:rFonts w:ascii="Times New Roman" w:hAnsi="Times New Roman" w:cs="Times New Roman"/>
          <w:sz w:val="28"/>
          <w:szCs w:val="28"/>
        </w:rPr>
        <w:t xml:space="preserve"> от арендной платы за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A2E" w:rsidRPr="00BC662A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A">
        <w:rPr>
          <w:rFonts w:ascii="Times New Roman" w:hAnsi="Times New Roman" w:cs="Times New Roman"/>
          <w:sz w:val="28"/>
          <w:szCs w:val="28"/>
        </w:rPr>
        <w:t>В 2023 году органами местного самоуправления обеспечена реализация налоговой политики, направленной на достижение необходимого уровня доходов для исполнения всех действующих расходных обязательств местного бюджета.</w:t>
      </w:r>
    </w:p>
    <w:p w:rsidR="00E44A2E" w:rsidRPr="00BC662A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A">
        <w:rPr>
          <w:rFonts w:ascii="Times New Roman" w:hAnsi="Times New Roman" w:cs="Times New Roman"/>
          <w:sz w:val="28"/>
          <w:szCs w:val="28"/>
        </w:rPr>
        <w:t xml:space="preserve">В отчетном периоде успешно реализован план мероприятий по росту доходов, оптимизации расходов бюджета Минераловодского городского округа Ставропольского края и сокращению муниципального долга Минераловодского городского округа Ставропольского края на 2023 -2025 </w:t>
      </w:r>
      <w:r w:rsidRPr="00BC662A">
        <w:rPr>
          <w:rFonts w:ascii="Times New Roman" w:hAnsi="Times New Roman" w:cs="Times New Roman"/>
          <w:sz w:val="28"/>
          <w:szCs w:val="28"/>
        </w:rPr>
        <w:lastRenderedPageBreak/>
        <w:t>годы, утвержденный распоряжением администрации Минераловодского городского округа Ставропольского края от 24</w:t>
      </w:r>
      <w:r w:rsidR="00C31613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BC662A">
        <w:rPr>
          <w:rFonts w:ascii="Times New Roman" w:hAnsi="Times New Roman" w:cs="Times New Roman"/>
          <w:sz w:val="28"/>
          <w:szCs w:val="28"/>
        </w:rPr>
        <w:t xml:space="preserve">2023 </w:t>
      </w:r>
      <w:r w:rsidR="00C31613">
        <w:rPr>
          <w:rFonts w:ascii="Times New Roman" w:hAnsi="Times New Roman" w:cs="Times New Roman"/>
          <w:sz w:val="28"/>
          <w:szCs w:val="28"/>
        </w:rPr>
        <w:t>г.</w:t>
      </w:r>
      <w:r w:rsidRPr="00BC662A">
        <w:rPr>
          <w:rFonts w:ascii="Times New Roman" w:hAnsi="Times New Roman" w:cs="Times New Roman"/>
          <w:sz w:val="28"/>
          <w:szCs w:val="28"/>
        </w:rPr>
        <w:t xml:space="preserve"> №109-р.</w:t>
      </w:r>
    </w:p>
    <w:p w:rsidR="00E44A2E" w:rsidRPr="00BC662A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A">
        <w:rPr>
          <w:rFonts w:ascii="Times New Roman" w:hAnsi="Times New Roman" w:cs="Times New Roman"/>
          <w:sz w:val="28"/>
          <w:szCs w:val="28"/>
        </w:rPr>
        <w:t>Экономический эффект от вовлечения в оборот объектов недвижимости на территории Минераловодского городского округ</w:t>
      </w:r>
      <w:r>
        <w:rPr>
          <w:rFonts w:ascii="Times New Roman" w:hAnsi="Times New Roman" w:cs="Times New Roman"/>
          <w:sz w:val="28"/>
          <w:szCs w:val="28"/>
        </w:rPr>
        <w:t xml:space="preserve">а за отчетный период составил </w:t>
      </w:r>
      <w:r w:rsidRPr="00BC66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C662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1 млн. </w:t>
      </w:r>
      <w:r w:rsidR="00C31613">
        <w:rPr>
          <w:rFonts w:ascii="Times New Roman" w:hAnsi="Times New Roman" w:cs="Times New Roman"/>
          <w:sz w:val="28"/>
          <w:szCs w:val="28"/>
        </w:rPr>
        <w:t xml:space="preserve"> руб.</w:t>
      </w:r>
      <w:r w:rsidRPr="00BC66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4A2E" w:rsidRPr="00BC662A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A">
        <w:rPr>
          <w:rFonts w:ascii="Times New Roman" w:hAnsi="Times New Roman" w:cs="Times New Roman"/>
          <w:sz w:val="28"/>
          <w:szCs w:val="28"/>
        </w:rPr>
        <w:t>- вовлечено в хозяйственный оборот 513 объектов недвижимого имущества, в том числе 484 земельных участков и 29 объектов недвижимости;</w:t>
      </w:r>
    </w:p>
    <w:p w:rsidR="00E44A2E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2A">
        <w:rPr>
          <w:rFonts w:ascii="Times New Roman" w:hAnsi="Times New Roman" w:cs="Times New Roman"/>
          <w:sz w:val="28"/>
          <w:szCs w:val="28"/>
        </w:rPr>
        <w:t>- актуализировано 68 сведений об объектах недвижимого имущества, выявлено 1028 объектов недвижимости, имеющих недостающие характеристики, из них: по 254 объектам уточнены сведения о правообладателях, по 509 объектам уточнены адреса местонахождения объектов, по 251 объекту оказана помощь физическим лицам в оформлении права собственности.</w:t>
      </w:r>
    </w:p>
    <w:p w:rsidR="00E44A2E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3A7">
        <w:rPr>
          <w:rFonts w:ascii="Times New Roman" w:hAnsi="Times New Roman" w:cs="Times New Roman"/>
          <w:sz w:val="28"/>
          <w:szCs w:val="28"/>
        </w:rPr>
        <w:t>Доля налоговых и неналоговых доходов в отчетном году в общем объеме доходов</w:t>
      </w:r>
      <w:r w:rsidRPr="00D063A7">
        <w:rPr>
          <w:rStyle w:val="a7"/>
          <w:rFonts w:eastAsiaTheme="minorEastAsia"/>
          <w:color w:val="000000"/>
          <w:sz w:val="28"/>
          <w:szCs w:val="28"/>
        </w:rPr>
        <w:t xml:space="preserve"> </w:t>
      </w:r>
      <w:r w:rsidRPr="00D063A7">
        <w:rPr>
          <w:rFonts w:ascii="Times New Roman" w:hAnsi="Times New Roman" w:cs="Times New Roman"/>
          <w:sz w:val="28"/>
          <w:szCs w:val="28"/>
        </w:rPr>
        <w:t>бюджета округа составляет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63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D063A7">
        <w:rPr>
          <w:rFonts w:ascii="Times New Roman" w:hAnsi="Times New Roman" w:cs="Times New Roman"/>
          <w:sz w:val="28"/>
          <w:szCs w:val="28"/>
        </w:rPr>
        <w:t xml:space="preserve"> %. Объем поступивших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63A7">
        <w:rPr>
          <w:rFonts w:ascii="Times New Roman" w:hAnsi="Times New Roman" w:cs="Times New Roman"/>
          <w:sz w:val="28"/>
          <w:szCs w:val="28"/>
        </w:rPr>
        <w:t xml:space="preserve"> году налоговых и неналоговых доходов к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63A7">
        <w:rPr>
          <w:rFonts w:ascii="Times New Roman" w:hAnsi="Times New Roman" w:cs="Times New Roman"/>
          <w:sz w:val="28"/>
          <w:szCs w:val="28"/>
        </w:rPr>
        <w:t xml:space="preserve"> году увеличился на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3A7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63A7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C31613">
        <w:rPr>
          <w:rFonts w:ascii="Times New Roman" w:hAnsi="Times New Roman" w:cs="Times New Roman"/>
          <w:sz w:val="28"/>
          <w:szCs w:val="28"/>
        </w:rPr>
        <w:t>.</w:t>
      </w:r>
      <w:r w:rsidRPr="00D063A7">
        <w:rPr>
          <w:rFonts w:ascii="Times New Roman" w:hAnsi="Times New Roman" w:cs="Times New Roman"/>
          <w:sz w:val="28"/>
          <w:szCs w:val="28"/>
        </w:rPr>
        <w:t xml:space="preserve"> или на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63A7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D063A7">
        <w:rPr>
          <w:rFonts w:ascii="Times New Roman" w:hAnsi="Times New Roman" w:cs="Times New Roman"/>
          <w:sz w:val="28"/>
          <w:szCs w:val="28"/>
        </w:rPr>
        <w:t>%.</w:t>
      </w:r>
    </w:p>
    <w:p w:rsidR="00E44A2E" w:rsidRDefault="00E44A2E" w:rsidP="00E44A2E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>Объем безвозмездных поступлений в местный бюджет составил              3263,31 млн. руб</w:t>
      </w:r>
      <w:r w:rsidR="00C31613">
        <w:rPr>
          <w:rStyle w:val="a7"/>
          <w:color w:val="000000"/>
          <w:sz w:val="28"/>
          <w:szCs w:val="28"/>
        </w:rPr>
        <w:t>.</w:t>
      </w:r>
      <w:r>
        <w:rPr>
          <w:rStyle w:val="a7"/>
          <w:color w:val="000000"/>
          <w:sz w:val="28"/>
          <w:szCs w:val="28"/>
        </w:rPr>
        <w:t>, что на 205,09 млн. руб</w:t>
      </w:r>
      <w:r w:rsidR="00421122">
        <w:rPr>
          <w:rStyle w:val="a7"/>
          <w:color w:val="000000"/>
          <w:sz w:val="28"/>
          <w:szCs w:val="28"/>
        </w:rPr>
        <w:t>.</w:t>
      </w:r>
      <w:r>
        <w:rPr>
          <w:rStyle w:val="a7"/>
          <w:color w:val="000000"/>
          <w:sz w:val="28"/>
          <w:szCs w:val="28"/>
        </w:rPr>
        <w:t xml:space="preserve"> или 5,91 % меньше прогнозной оценки поступлений. </w:t>
      </w:r>
      <w:r w:rsidRPr="00D063A7">
        <w:rPr>
          <w:rStyle w:val="a7"/>
          <w:color w:val="000000"/>
          <w:sz w:val="28"/>
          <w:szCs w:val="28"/>
        </w:rPr>
        <w:t>Объем безвозмездных поступлений в местный бюджет в 202</w:t>
      </w:r>
      <w:r>
        <w:rPr>
          <w:rStyle w:val="a7"/>
          <w:color w:val="000000"/>
          <w:sz w:val="28"/>
          <w:szCs w:val="28"/>
        </w:rPr>
        <w:t>3</w:t>
      </w:r>
      <w:r w:rsidRPr="00D063A7">
        <w:rPr>
          <w:rStyle w:val="a7"/>
          <w:color w:val="000000"/>
          <w:sz w:val="28"/>
          <w:szCs w:val="28"/>
        </w:rPr>
        <w:t xml:space="preserve"> году на </w:t>
      </w:r>
      <w:r>
        <w:rPr>
          <w:rStyle w:val="a7"/>
          <w:color w:val="000000"/>
          <w:sz w:val="28"/>
          <w:szCs w:val="28"/>
        </w:rPr>
        <w:t>404,</w:t>
      </w:r>
      <w:r w:rsidRPr="00D063A7">
        <w:rPr>
          <w:rStyle w:val="a7"/>
          <w:color w:val="000000"/>
          <w:sz w:val="28"/>
          <w:szCs w:val="28"/>
        </w:rPr>
        <w:t>6</w:t>
      </w:r>
      <w:r>
        <w:rPr>
          <w:rStyle w:val="a7"/>
          <w:color w:val="000000"/>
          <w:sz w:val="28"/>
          <w:szCs w:val="28"/>
        </w:rPr>
        <w:t>7 млн.</w:t>
      </w:r>
      <w:r w:rsidRPr="00D063A7">
        <w:rPr>
          <w:rStyle w:val="a7"/>
          <w:color w:val="000000"/>
          <w:sz w:val="28"/>
          <w:szCs w:val="28"/>
        </w:rPr>
        <w:t xml:space="preserve"> руб</w:t>
      </w:r>
      <w:r w:rsidR="00421122">
        <w:rPr>
          <w:rStyle w:val="a7"/>
          <w:color w:val="000000"/>
          <w:sz w:val="28"/>
          <w:szCs w:val="28"/>
        </w:rPr>
        <w:t>.</w:t>
      </w:r>
      <w:r w:rsidRPr="00D063A7">
        <w:rPr>
          <w:rStyle w:val="a7"/>
          <w:color w:val="000000"/>
          <w:sz w:val="28"/>
          <w:szCs w:val="28"/>
        </w:rPr>
        <w:t xml:space="preserve"> или на </w:t>
      </w:r>
      <w:r>
        <w:rPr>
          <w:rStyle w:val="a7"/>
          <w:color w:val="000000"/>
          <w:sz w:val="28"/>
          <w:szCs w:val="28"/>
        </w:rPr>
        <w:t>11</w:t>
      </w:r>
      <w:r w:rsidRPr="00D063A7">
        <w:rPr>
          <w:rStyle w:val="a7"/>
          <w:color w:val="000000"/>
          <w:sz w:val="28"/>
          <w:szCs w:val="28"/>
        </w:rPr>
        <w:t>,</w:t>
      </w:r>
      <w:r>
        <w:rPr>
          <w:rStyle w:val="a7"/>
          <w:color w:val="000000"/>
          <w:sz w:val="28"/>
          <w:szCs w:val="28"/>
        </w:rPr>
        <w:t>03</w:t>
      </w:r>
      <w:r w:rsidRPr="00D063A7">
        <w:rPr>
          <w:rStyle w:val="a7"/>
          <w:color w:val="000000"/>
          <w:sz w:val="28"/>
          <w:szCs w:val="28"/>
        </w:rPr>
        <w:t xml:space="preserve"> % </w:t>
      </w:r>
      <w:r>
        <w:rPr>
          <w:rStyle w:val="a7"/>
          <w:color w:val="000000"/>
          <w:sz w:val="28"/>
          <w:szCs w:val="28"/>
        </w:rPr>
        <w:t>меньше</w:t>
      </w:r>
      <w:r w:rsidRPr="00D063A7">
        <w:rPr>
          <w:rStyle w:val="a7"/>
          <w:color w:val="000000"/>
          <w:sz w:val="28"/>
          <w:szCs w:val="28"/>
        </w:rPr>
        <w:t xml:space="preserve"> чем в 202</w:t>
      </w:r>
      <w:r>
        <w:rPr>
          <w:rStyle w:val="a7"/>
          <w:color w:val="000000"/>
          <w:sz w:val="28"/>
          <w:szCs w:val="28"/>
        </w:rPr>
        <w:t>2</w:t>
      </w:r>
      <w:r w:rsidRPr="00D063A7">
        <w:rPr>
          <w:rStyle w:val="a7"/>
          <w:color w:val="000000"/>
          <w:sz w:val="28"/>
          <w:szCs w:val="28"/>
        </w:rPr>
        <w:t xml:space="preserve"> году.</w:t>
      </w:r>
    </w:p>
    <w:p w:rsidR="00E44A2E" w:rsidRPr="00AA5A60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60">
        <w:rPr>
          <w:rFonts w:ascii="Times New Roman" w:hAnsi="Times New Roman" w:cs="Times New Roman"/>
          <w:color w:val="000000"/>
          <w:sz w:val="28"/>
          <w:szCs w:val="28"/>
        </w:rPr>
        <w:t>Исполнение расходной части бюджета округа за отчетный период составило 93,71%, от уточненных плановых назначений, предусмотренных на 2023 год.</w:t>
      </w:r>
    </w:p>
    <w:p w:rsidR="00E44A2E" w:rsidRPr="00AA5A60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60">
        <w:rPr>
          <w:rFonts w:ascii="Times New Roman" w:hAnsi="Times New Roman" w:cs="Times New Roman"/>
          <w:sz w:val="28"/>
          <w:szCs w:val="28"/>
        </w:rPr>
        <w:t>По итогам 2023 года кассовые расходы местного бюджета составили    4496,7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A5A60">
        <w:rPr>
          <w:rFonts w:ascii="Times New Roman" w:hAnsi="Times New Roman" w:cs="Times New Roman"/>
          <w:sz w:val="28"/>
          <w:szCs w:val="28"/>
        </w:rPr>
        <w:t xml:space="preserve"> </w:t>
      </w:r>
      <w:r w:rsidRPr="00AA5A60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AA5A60">
        <w:rPr>
          <w:rFonts w:ascii="Times New Roman" w:hAnsi="Times New Roman" w:cs="Times New Roman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sz w:val="28"/>
          <w:szCs w:val="28"/>
        </w:rPr>
        <w:t>.</w:t>
      </w:r>
      <w:r w:rsidRPr="00AA5A60">
        <w:rPr>
          <w:rFonts w:ascii="Times New Roman" w:hAnsi="Times New Roman" w:cs="Times New Roman"/>
          <w:sz w:val="28"/>
          <w:szCs w:val="28"/>
        </w:rPr>
        <w:t xml:space="preserve"> с учетом остатков средств на 01.01.2023г.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Дефицит местного бюджета по итогам исполнения составил 49,3 </w:t>
      </w:r>
      <w:r w:rsidRPr="00AA5A60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</w:p>
    <w:p w:rsidR="00E44A2E" w:rsidRPr="00AA5A60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60">
        <w:rPr>
          <w:rFonts w:ascii="Times New Roman" w:hAnsi="Times New Roman" w:cs="Times New Roman"/>
          <w:color w:val="000000"/>
          <w:sz w:val="28"/>
          <w:szCs w:val="28"/>
        </w:rPr>
        <w:t>Наибольший удельный вес в структуре расходов бюджета занимают расходы, направленные на исполнение социальных направлений, которые включают в себя расходы на образование, социальную политику, культуру, физическую культуру и спорт.</w:t>
      </w:r>
    </w:p>
    <w:p w:rsidR="00E44A2E" w:rsidRPr="00AA5A60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60">
        <w:rPr>
          <w:rFonts w:ascii="Times New Roman" w:hAnsi="Times New Roman" w:cs="Times New Roman"/>
          <w:color w:val="000000"/>
          <w:sz w:val="28"/>
          <w:szCs w:val="28"/>
        </w:rPr>
        <w:t>В общей доле произведенных расходов бюджета округа за 2023 год расходы на образование составили – 45,94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%, на социальную политику –      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>22,14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>%, культуру – 5,03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>%, физическ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 культур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 и спорт 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>0,72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E44A2E" w:rsidRPr="00AA5A60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60">
        <w:rPr>
          <w:rFonts w:ascii="Times New Roman" w:hAnsi="Times New Roman" w:cs="Times New Roman"/>
          <w:color w:val="000000"/>
          <w:sz w:val="28"/>
          <w:szCs w:val="28"/>
        </w:rPr>
        <w:t>Кассовое исполнение бюджета Минераловодского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 по разделам кодов бюджетной классификации расходов бюджетов выглядит следующим образом:</w:t>
      </w:r>
    </w:p>
    <w:p w:rsidR="00E44A2E" w:rsidRPr="00AA5A60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- общегосударственные вопросы – 347,85 </w:t>
      </w:r>
      <w:r w:rsidRPr="00AA5A60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, что составляет </w:t>
      </w:r>
      <w:r w:rsidRPr="001C6105">
        <w:rPr>
          <w:rFonts w:ascii="Times New Roman" w:hAnsi="Times New Roman" w:cs="Times New Roman"/>
          <w:sz w:val="28"/>
          <w:szCs w:val="28"/>
        </w:rPr>
        <w:t>99,08</w:t>
      </w:r>
      <w:r w:rsidR="00C31613">
        <w:rPr>
          <w:rFonts w:ascii="Times New Roman" w:hAnsi="Times New Roman" w:cs="Times New Roman"/>
          <w:sz w:val="28"/>
          <w:szCs w:val="28"/>
        </w:rPr>
        <w:t xml:space="preserve">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% от уточненных бюджетных ассигнований 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351,07 </w:t>
      </w:r>
      <w:r w:rsidRPr="00AA5A60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A5A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- национальная безопасность и правоохранительная деятельность –     </w:t>
      </w:r>
      <w:r>
        <w:rPr>
          <w:rFonts w:ascii="Times New Roman" w:hAnsi="Times New Roman" w:cs="Times New Roman"/>
          <w:color w:val="000000"/>
          <w:sz w:val="28"/>
          <w:szCs w:val="28"/>
        </w:rPr>
        <w:t>26,96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 xml:space="preserve">млн.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, что составляет 98,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% от уточненных бюджетных ассигнований – </w:t>
      </w:r>
      <w:r>
        <w:rPr>
          <w:rFonts w:ascii="Times New Roman" w:hAnsi="Times New Roman" w:cs="Times New Roman"/>
          <w:color w:val="000000"/>
          <w:sz w:val="28"/>
          <w:szCs w:val="28"/>
        </w:rPr>
        <w:t>27,46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национальная экономика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238,18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, что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55,9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% от уточненных бюджетных ассигнований – 425,93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- жилищно-коммунальное хозяйство 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562,75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или 90,2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% от бюджетных ассигнований – 623,92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-образование – 2065,65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, что составляет 97,</w:t>
      </w:r>
      <w:r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от предусмотренных бюджетных ассигнований – 2108,28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-культура, кинематография – </w:t>
      </w:r>
      <w:r>
        <w:rPr>
          <w:rFonts w:ascii="Times New Roman" w:hAnsi="Times New Roman" w:cs="Times New Roman"/>
          <w:color w:val="000000"/>
          <w:sz w:val="28"/>
          <w:szCs w:val="28"/>
        </w:rPr>
        <w:t>226,32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, или 99,29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% от бюджетных ассигнований (</w:t>
      </w:r>
      <w:r>
        <w:rPr>
          <w:rFonts w:ascii="Times New Roman" w:hAnsi="Times New Roman" w:cs="Times New Roman"/>
          <w:color w:val="000000"/>
          <w:sz w:val="28"/>
          <w:szCs w:val="28"/>
        </w:rPr>
        <w:t>227,93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E44A2E" w:rsidRPr="009971B4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-социальная политика – </w:t>
      </w:r>
      <w:r>
        <w:rPr>
          <w:rFonts w:ascii="Times New Roman" w:hAnsi="Times New Roman" w:cs="Times New Roman"/>
          <w:color w:val="000000"/>
          <w:sz w:val="28"/>
          <w:szCs w:val="28"/>
        </w:rPr>
        <w:t>995,51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, что составляет 99,</w:t>
      </w:r>
      <w:r>
        <w:rPr>
          <w:rFonts w:ascii="Times New Roman" w:hAnsi="Times New Roman" w:cs="Times New Roman"/>
          <w:color w:val="000000"/>
          <w:sz w:val="28"/>
          <w:szCs w:val="28"/>
        </w:rPr>
        <w:t>54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% от предусмотренных бюджетных ассигнований – </w:t>
      </w:r>
      <w:r>
        <w:rPr>
          <w:rFonts w:ascii="Times New Roman" w:hAnsi="Times New Roman" w:cs="Times New Roman"/>
          <w:color w:val="000000"/>
          <w:sz w:val="28"/>
          <w:szCs w:val="28"/>
        </w:rPr>
        <w:t>1000,06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1B4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971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8C6DD8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-физическая культура и спорт – </w:t>
      </w:r>
      <w:r>
        <w:rPr>
          <w:rFonts w:ascii="Times New Roman" w:hAnsi="Times New Roman" w:cs="Times New Roman"/>
          <w:color w:val="000000"/>
          <w:sz w:val="28"/>
          <w:szCs w:val="28"/>
        </w:rPr>
        <w:t>32,43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6DD8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98,06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% от бюджетных ассигнований – </w:t>
      </w:r>
      <w:r>
        <w:rPr>
          <w:rFonts w:ascii="Times New Roman" w:hAnsi="Times New Roman" w:cs="Times New Roman"/>
          <w:color w:val="000000"/>
          <w:sz w:val="28"/>
          <w:szCs w:val="28"/>
        </w:rPr>
        <w:t>33,07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6DD8">
        <w:rPr>
          <w:rStyle w:val="a7"/>
          <w:rFonts w:eastAsiaTheme="minorEastAsia"/>
          <w:color w:val="000000"/>
          <w:sz w:val="28"/>
          <w:szCs w:val="28"/>
        </w:rPr>
        <w:t>млн.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4A2E" w:rsidRPr="008C6DD8" w:rsidRDefault="00E44A2E" w:rsidP="00E44A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- обслуживание муниципального долга – </w:t>
      </w:r>
      <w:r>
        <w:rPr>
          <w:rFonts w:ascii="Times New Roman" w:hAnsi="Times New Roman" w:cs="Times New Roman"/>
          <w:color w:val="000000"/>
          <w:sz w:val="28"/>
          <w:szCs w:val="28"/>
        </w:rPr>
        <w:t>1,06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6DD8">
        <w:rPr>
          <w:rStyle w:val="a7"/>
          <w:rFonts w:eastAsiaTheme="minorEastAsia"/>
          <w:color w:val="000000"/>
          <w:sz w:val="28"/>
          <w:szCs w:val="28"/>
        </w:rPr>
        <w:t xml:space="preserve">млн. 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4211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C316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6DD8">
        <w:rPr>
          <w:rFonts w:ascii="Times New Roman" w:hAnsi="Times New Roman" w:cs="Times New Roman"/>
          <w:color w:val="000000"/>
          <w:sz w:val="28"/>
          <w:szCs w:val="28"/>
        </w:rPr>
        <w:t>% от предусмотренных бюджетных ассигнований.</w:t>
      </w:r>
    </w:p>
    <w:p w:rsidR="0085580B" w:rsidRPr="00D92486" w:rsidRDefault="0085580B" w:rsidP="0076507A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</w:p>
    <w:p w:rsidR="0085580B" w:rsidRDefault="0085580B" w:rsidP="0076507A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</w:p>
    <w:p w:rsidR="008F12BB" w:rsidRPr="00D92486" w:rsidRDefault="008F12BB" w:rsidP="0076507A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</w:p>
    <w:p w:rsidR="0085580B" w:rsidRPr="00D92486" w:rsidRDefault="0085580B" w:rsidP="0085580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486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85580B" w:rsidRPr="00D92486" w:rsidRDefault="0085580B" w:rsidP="0085580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486">
        <w:rPr>
          <w:rFonts w:ascii="Times New Roman" w:hAnsi="Times New Roman"/>
          <w:sz w:val="28"/>
          <w:szCs w:val="28"/>
        </w:rPr>
        <w:t xml:space="preserve">экономического развития администрации </w:t>
      </w:r>
    </w:p>
    <w:p w:rsidR="001071B9" w:rsidRDefault="0085580B" w:rsidP="0085580B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/>
          <w:sz w:val="28"/>
          <w:szCs w:val="28"/>
        </w:rPr>
        <w:t xml:space="preserve">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85580B" w:rsidRPr="00D92486" w:rsidRDefault="001071B9" w:rsidP="0085580B">
      <w:pPr>
        <w:tabs>
          <w:tab w:val="left" w:pos="5580"/>
        </w:tabs>
        <w:spacing w:after="0" w:line="240" w:lineRule="auto"/>
        <w:jc w:val="both"/>
        <w:rPr>
          <w:rStyle w:val="a7"/>
          <w:rFonts w:eastAsiaTheme="minorEastAsia"/>
          <w:color w:val="000000"/>
          <w:sz w:val="28"/>
          <w:szCs w:val="28"/>
        </w:rPr>
      </w:pPr>
      <w:r w:rsidRPr="00232AE2">
        <w:rPr>
          <w:rFonts w:ascii="Times New Roman" w:hAnsi="Times New Roman" w:cs="Times New Roman"/>
          <w:sz w:val="28"/>
          <w:szCs w:val="28"/>
        </w:rPr>
        <w:t>округа</w:t>
      </w:r>
      <w:r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5580B" w:rsidRPr="00D92486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85580B" w:rsidRPr="00D92486">
        <w:rPr>
          <w:rFonts w:ascii="Times New Roman" w:hAnsi="Times New Roman"/>
          <w:sz w:val="28"/>
          <w:szCs w:val="28"/>
        </w:rPr>
        <w:t xml:space="preserve">     Г. В. Фисенко</w:t>
      </w:r>
    </w:p>
    <w:sectPr w:rsidR="0085580B" w:rsidRPr="00D92486" w:rsidSect="00572345">
      <w:headerReference w:type="default" r:id="rId6"/>
      <w:pgSz w:w="11906" w:h="16838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EBF" w:rsidRDefault="00325EBF" w:rsidP="000435EB">
      <w:pPr>
        <w:spacing w:after="0" w:line="240" w:lineRule="auto"/>
      </w:pPr>
      <w:r>
        <w:separator/>
      </w:r>
    </w:p>
  </w:endnote>
  <w:endnote w:type="continuationSeparator" w:id="0">
    <w:p w:rsidR="00325EBF" w:rsidRDefault="00325EBF" w:rsidP="0004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EBF" w:rsidRDefault="00325EBF" w:rsidP="000435EB">
      <w:pPr>
        <w:spacing w:after="0" w:line="240" w:lineRule="auto"/>
      </w:pPr>
      <w:r>
        <w:separator/>
      </w:r>
    </w:p>
  </w:footnote>
  <w:footnote w:type="continuationSeparator" w:id="0">
    <w:p w:rsidR="00325EBF" w:rsidRDefault="00325EBF" w:rsidP="00043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77030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580B" w:rsidRPr="00C91B4C" w:rsidRDefault="0025461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1B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5580B" w:rsidRPr="00C91B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1B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4DC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91B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5580B" w:rsidRDefault="0085580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50"/>
    <w:rsid w:val="00017665"/>
    <w:rsid w:val="00025E52"/>
    <w:rsid w:val="00030C29"/>
    <w:rsid w:val="000339C6"/>
    <w:rsid w:val="000373B5"/>
    <w:rsid w:val="000435EB"/>
    <w:rsid w:val="00045B1F"/>
    <w:rsid w:val="00051421"/>
    <w:rsid w:val="00056A02"/>
    <w:rsid w:val="00060ECE"/>
    <w:rsid w:val="0006576E"/>
    <w:rsid w:val="00077DA3"/>
    <w:rsid w:val="000804AF"/>
    <w:rsid w:val="000A415A"/>
    <w:rsid w:val="000B13CA"/>
    <w:rsid w:val="000B600A"/>
    <w:rsid w:val="000C7775"/>
    <w:rsid w:val="000D50F8"/>
    <w:rsid w:val="000E3B2A"/>
    <w:rsid w:val="000F38C3"/>
    <w:rsid w:val="000F79D5"/>
    <w:rsid w:val="001071B9"/>
    <w:rsid w:val="001077FC"/>
    <w:rsid w:val="00114FB2"/>
    <w:rsid w:val="001236E8"/>
    <w:rsid w:val="001472FC"/>
    <w:rsid w:val="00153343"/>
    <w:rsid w:val="0015669D"/>
    <w:rsid w:val="0016483B"/>
    <w:rsid w:val="00170602"/>
    <w:rsid w:val="0017550D"/>
    <w:rsid w:val="00181DE6"/>
    <w:rsid w:val="00193244"/>
    <w:rsid w:val="0019418E"/>
    <w:rsid w:val="001951A3"/>
    <w:rsid w:val="001969F2"/>
    <w:rsid w:val="001972D8"/>
    <w:rsid w:val="001A60F5"/>
    <w:rsid w:val="001C0656"/>
    <w:rsid w:val="001C2F61"/>
    <w:rsid w:val="001E4B0E"/>
    <w:rsid w:val="00204A8B"/>
    <w:rsid w:val="00210F9F"/>
    <w:rsid w:val="00225E7D"/>
    <w:rsid w:val="0023439A"/>
    <w:rsid w:val="0023447E"/>
    <w:rsid w:val="00242344"/>
    <w:rsid w:val="002469F7"/>
    <w:rsid w:val="0025461E"/>
    <w:rsid w:val="002546C8"/>
    <w:rsid w:val="00256646"/>
    <w:rsid w:val="002606FA"/>
    <w:rsid w:val="002651CA"/>
    <w:rsid w:val="0026725A"/>
    <w:rsid w:val="00282E17"/>
    <w:rsid w:val="0028607D"/>
    <w:rsid w:val="0028672C"/>
    <w:rsid w:val="002930E4"/>
    <w:rsid w:val="002947E2"/>
    <w:rsid w:val="002A0FA6"/>
    <w:rsid w:val="002B3694"/>
    <w:rsid w:val="002B48D4"/>
    <w:rsid w:val="002B5F63"/>
    <w:rsid w:val="002C3D8F"/>
    <w:rsid w:val="002C45D4"/>
    <w:rsid w:val="002D2BE1"/>
    <w:rsid w:val="002D7475"/>
    <w:rsid w:val="002E0350"/>
    <w:rsid w:val="002E0F9E"/>
    <w:rsid w:val="002E5E35"/>
    <w:rsid w:val="002E6FD5"/>
    <w:rsid w:val="002F5478"/>
    <w:rsid w:val="003026BB"/>
    <w:rsid w:val="003049CF"/>
    <w:rsid w:val="00306D61"/>
    <w:rsid w:val="00325D4D"/>
    <w:rsid w:val="00325EBF"/>
    <w:rsid w:val="00327191"/>
    <w:rsid w:val="0033207B"/>
    <w:rsid w:val="00333726"/>
    <w:rsid w:val="00341102"/>
    <w:rsid w:val="003425D5"/>
    <w:rsid w:val="00353F68"/>
    <w:rsid w:val="003B678D"/>
    <w:rsid w:val="003C3658"/>
    <w:rsid w:val="003D68BB"/>
    <w:rsid w:val="003D6CE9"/>
    <w:rsid w:val="003E7241"/>
    <w:rsid w:val="003F217A"/>
    <w:rsid w:val="00413463"/>
    <w:rsid w:val="00420D73"/>
    <w:rsid w:val="00421122"/>
    <w:rsid w:val="004239F1"/>
    <w:rsid w:val="00427DA6"/>
    <w:rsid w:val="00433082"/>
    <w:rsid w:val="00433159"/>
    <w:rsid w:val="00436048"/>
    <w:rsid w:val="004371F6"/>
    <w:rsid w:val="004403BE"/>
    <w:rsid w:val="004448EC"/>
    <w:rsid w:val="00445B70"/>
    <w:rsid w:val="004675D1"/>
    <w:rsid w:val="004771E9"/>
    <w:rsid w:val="00480A76"/>
    <w:rsid w:val="004A19D4"/>
    <w:rsid w:val="004C20CC"/>
    <w:rsid w:val="004C796C"/>
    <w:rsid w:val="004E29F8"/>
    <w:rsid w:val="004E42C1"/>
    <w:rsid w:val="004F7300"/>
    <w:rsid w:val="004F7390"/>
    <w:rsid w:val="00515DC7"/>
    <w:rsid w:val="005213CF"/>
    <w:rsid w:val="00527A66"/>
    <w:rsid w:val="005341C2"/>
    <w:rsid w:val="005344FD"/>
    <w:rsid w:val="00536227"/>
    <w:rsid w:val="00537888"/>
    <w:rsid w:val="00546794"/>
    <w:rsid w:val="00564CA9"/>
    <w:rsid w:val="00567085"/>
    <w:rsid w:val="005717B4"/>
    <w:rsid w:val="00572345"/>
    <w:rsid w:val="00573881"/>
    <w:rsid w:val="0057663D"/>
    <w:rsid w:val="00577ED3"/>
    <w:rsid w:val="00581BA1"/>
    <w:rsid w:val="005840F5"/>
    <w:rsid w:val="005926FC"/>
    <w:rsid w:val="00595CC4"/>
    <w:rsid w:val="005A1F64"/>
    <w:rsid w:val="005A2922"/>
    <w:rsid w:val="005A52E0"/>
    <w:rsid w:val="005B3F2D"/>
    <w:rsid w:val="005B5954"/>
    <w:rsid w:val="005B7424"/>
    <w:rsid w:val="005B7C67"/>
    <w:rsid w:val="005C2D62"/>
    <w:rsid w:val="005C7FF3"/>
    <w:rsid w:val="005D6662"/>
    <w:rsid w:val="005D757E"/>
    <w:rsid w:val="006062A4"/>
    <w:rsid w:val="00607EB0"/>
    <w:rsid w:val="00613340"/>
    <w:rsid w:val="00630C64"/>
    <w:rsid w:val="006361D4"/>
    <w:rsid w:val="00653DE8"/>
    <w:rsid w:val="00660A97"/>
    <w:rsid w:val="006613D6"/>
    <w:rsid w:val="0066702A"/>
    <w:rsid w:val="00671AAF"/>
    <w:rsid w:val="00674F48"/>
    <w:rsid w:val="00676D28"/>
    <w:rsid w:val="00682808"/>
    <w:rsid w:val="00686188"/>
    <w:rsid w:val="006863F7"/>
    <w:rsid w:val="00692E3D"/>
    <w:rsid w:val="00693E28"/>
    <w:rsid w:val="006B7245"/>
    <w:rsid w:val="006C24FB"/>
    <w:rsid w:val="006C4A6B"/>
    <w:rsid w:val="006D270D"/>
    <w:rsid w:val="006E090B"/>
    <w:rsid w:val="006E1F58"/>
    <w:rsid w:val="006E3CA5"/>
    <w:rsid w:val="006F33AB"/>
    <w:rsid w:val="00713693"/>
    <w:rsid w:val="0072170C"/>
    <w:rsid w:val="00731B35"/>
    <w:rsid w:val="00734F98"/>
    <w:rsid w:val="00746C3E"/>
    <w:rsid w:val="00747D35"/>
    <w:rsid w:val="0076163C"/>
    <w:rsid w:val="00762402"/>
    <w:rsid w:val="0076507A"/>
    <w:rsid w:val="00766701"/>
    <w:rsid w:val="007718B2"/>
    <w:rsid w:val="007905BE"/>
    <w:rsid w:val="00790F8E"/>
    <w:rsid w:val="00793100"/>
    <w:rsid w:val="0079433D"/>
    <w:rsid w:val="00796810"/>
    <w:rsid w:val="007A2182"/>
    <w:rsid w:val="007B2219"/>
    <w:rsid w:val="007B2571"/>
    <w:rsid w:val="007B2BF7"/>
    <w:rsid w:val="007C0BA7"/>
    <w:rsid w:val="007D08B5"/>
    <w:rsid w:val="007D1BA8"/>
    <w:rsid w:val="007E69BE"/>
    <w:rsid w:val="007F7F59"/>
    <w:rsid w:val="00806AE5"/>
    <w:rsid w:val="00806F0D"/>
    <w:rsid w:val="0081196A"/>
    <w:rsid w:val="008152CA"/>
    <w:rsid w:val="0081622B"/>
    <w:rsid w:val="0082138A"/>
    <w:rsid w:val="00822F0E"/>
    <w:rsid w:val="0082432C"/>
    <w:rsid w:val="00826561"/>
    <w:rsid w:val="0084143E"/>
    <w:rsid w:val="00850780"/>
    <w:rsid w:val="008546D3"/>
    <w:rsid w:val="0085580B"/>
    <w:rsid w:val="0085747B"/>
    <w:rsid w:val="00872569"/>
    <w:rsid w:val="0088629B"/>
    <w:rsid w:val="008A58CE"/>
    <w:rsid w:val="008B3E44"/>
    <w:rsid w:val="008B4B01"/>
    <w:rsid w:val="008C3439"/>
    <w:rsid w:val="008C72B9"/>
    <w:rsid w:val="008D05E7"/>
    <w:rsid w:val="008D4E63"/>
    <w:rsid w:val="008E6DFC"/>
    <w:rsid w:val="008F01B9"/>
    <w:rsid w:val="008F0C74"/>
    <w:rsid w:val="008F12BB"/>
    <w:rsid w:val="008F7F1D"/>
    <w:rsid w:val="00904C5A"/>
    <w:rsid w:val="009144E6"/>
    <w:rsid w:val="00914C92"/>
    <w:rsid w:val="00920EDF"/>
    <w:rsid w:val="009212F7"/>
    <w:rsid w:val="00921D5E"/>
    <w:rsid w:val="00942A12"/>
    <w:rsid w:val="00952644"/>
    <w:rsid w:val="009543AA"/>
    <w:rsid w:val="00967BCD"/>
    <w:rsid w:val="009739FB"/>
    <w:rsid w:val="00983673"/>
    <w:rsid w:val="00992D22"/>
    <w:rsid w:val="00994487"/>
    <w:rsid w:val="00995869"/>
    <w:rsid w:val="009D4967"/>
    <w:rsid w:val="009E0BD0"/>
    <w:rsid w:val="009E1355"/>
    <w:rsid w:val="009E3ED4"/>
    <w:rsid w:val="009F31CC"/>
    <w:rsid w:val="00A07759"/>
    <w:rsid w:val="00A10613"/>
    <w:rsid w:val="00A113FA"/>
    <w:rsid w:val="00A17009"/>
    <w:rsid w:val="00A41449"/>
    <w:rsid w:val="00A64193"/>
    <w:rsid w:val="00A64DC9"/>
    <w:rsid w:val="00AA3782"/>
    <w:rsid w:val="00AA5A5D"/>
    <w:rsid w:val="00AC1344"/>
    <w:rsid w:val="00AC6B4D"/>
    <w:rsid w:val="00AD1188"/>
    <w:rsid w:val="00AD7562"/>
    <w:rsid w:val="00AE1735"/>
    <w:rsid w:val="00AE4545"/>
    <w:rsid w:val="00B00F82"/>
    <w:rsid w:val="00B05999"/>
    <w:rsid w:val="00B11D24"/>
    <w:rsid w:val="00B20429"/>
    <w:rsid w:val="00B33599"/>
    <w:rsid w:val="00B37169"/>
    <w:rsid w:val="00B43BDB"/>
    <w:rsid w:val="00B43ED7"/>
    <w:rsid w:val="00B44FC6"/>
    <w:rsid w:val="00B47EFC"/>
    <w:rsid w:val="00B53C00"/>
    <w:rsid w:val="00B626CD"/>
    <w:rsid w:val="00B665DF"/>
    <w:rsid w:val="00B70219"/>
    <w:rsid w:val="00B70B2C"/>
    <w:rsid w:val="00B71530"/>
    <w:rsid w:val="00B730ED"/>
    <w:rsid w:val="00B858ED"/>
    <w:rsid w:val="00B92F0D"/>
    <w:rsid w:val="00B9313D"/>
    <w:rsid w:val="00B94A4C"/>
    <w:rsid w:val="00BA7305"/>
    <w:rsid w:val="00BB0F03"/>
    <w:rsid w:val="00BB5450"/>
    <w:rsid w:val="00BB6BD1"/>
    <w:rsid w:val="00BC514F"/>
    <w:rsid w:val="00BC5D39"/>
    <w:rsid w:val="00BE4368"/>
    <w:rsid w:val="00BE64E7"/>
    <w:rsid w:val="00BF22FC"/>
    <w:rsid w:val="00BF5747"/>
    <w:rsid w:val="00C05938"/>
    <w:rsid w:val="00C14993"/>
    <w:rsid w:val="00C22D02"/>
    <w:rsid w:val="00C24F11"/>
    <w:rsid w:val="00C313D9"/>
    <w:rsid w:val="00C31613"/>
    <w:rsid w:val="00C53BAF"/>
    <w:rsid w:val="00C57B3D"/>
    <w:rsid w:val="00C6466A"/>
    <w:rsid w:val="00C652DA"/>
    <w:rsid w:val="00C65918"/>
    <w:rsid w:val="00C91B4C"/>
    <w:rsid w:val="00C97441"/>
    <w:rsid w:val="00CB09DF"/>
    <w:rsid w:val="00CB4547"/>
    <w:rsid w:val="00CB4675"/>
    <w:rsid w:val="00CB7D58"/>
    <w:rsid w:val="00CD1F0C"/>
    <w:rsid w:val="00CD30FC"/>
    <w:rsid w:val="00CD60E5"/>
    <w:rsid w:val="00CE224A"/>
    <w:rsid w:val="00CE4B11"/>
    <w:rsid w:val="00CF1623"/>
    <w:rsid w:val="00CF47E2"/>
    <w:rsid w:val="00D0567D"/>
    <w:rsid w:val="00D1011F"/>
    <w:rsid w:val="00D14E09"/>
    <w:rsid w:val="00D4374D"/>
    <w:rsid w:val="00D52C90"/>
    <w:rsid w:val="00D54DDE"/>
    <w:rsid w:val="00D609E5"/>
    <w:rsid w:val="00D66F98"/>
    <w:rsid w:val="00D74ED7"/>
    <w:rsid w:val="00D76862"/>
    <w:rsid w:val="00D80524"/>
    <w:rsid w:val="00D813B0"/>
    <w:rsid w:val="00D92486"/>
    <w:rsid w:val="00D933E0"/>
    <w:rsid w:val="00DA0954"/>
    <w:rsid w:val="00DA1152"/>
    <w:rsid w:val="00DC2887"/>
    <w:rsid w:val="00DC753D"/>
    <w:rsid w:val="00DD558B"/>
    <w:rsid w:val="00DE507A"/>
    <w:rsid w:val="00DF3024"/>
    <w:rsid w:val="00E1429B"/>
    <w:rsid w:val="00E1591B"/>
    <w:rsid w:val="00E27CC3"/>
    <w:rsid w:val="00E3115E"/>
    <w:rsid w:val="00E40265"/>
    <w:rsid w:val="00E44A2E"/>
    <w:rsid w:val="00E45A2A"/>
    <w:rsid w:val="00E51CFC"/>
    <w:rsid w:val="00E66166"/>
    <w:rsid w:val="00E71452"/>
    <w:rsid w:val="00E729C3"/>
    <w:rsid w:val="00E905A8"/>
    <w:rsid w:val="00EA2A2B"/>
    <w:rsid w:val="00EB4926"/>
    <w:rsid w:val="00ED042F"/>
    <w:rsid w:val="00ED44DF"/>
    <w:rsid w:val="00EE0F70"/>
    <w:rsid w:val="00EF0B14"/>
    <w:rsid w:val="00EF0F88"/>
    <w:rsid w:val="00F26AAE"/>
    <w:rsid w:val="00F35371"/>
    <w:rsid w:val="00F40DD9"/>
    <w:rsid w:val="00F55B8F"/>
    <w:rsid w:val="00F61C89"/>
    <w:rsid w:val="00F62A73"/>
    <w:rsid w:val="00F6631F"/>
    <w:rsid w:val="00F70040"/>
    <w:rsid w:val="00F77E6C"/>
    <w:rsid w:val="00F85F93"/>
    <w:rsid w:val="00F95420"/>
    <w:rsid w:val="00F9594C"/>
    <w:rsid w:val="00FA0FE4"/>
    <w:rsid w:val="00FA662D"/>
    <w:rsid w:val="00FC1800"/>
    <w:rsid w:val="00FC4DE0"/>
    <w:rsid w:val="00FD1A06"/>
    <w:rsid w:val="00FD57CB"/>
    <w:rsid w:val="00F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DCBC"/>
  <w15:docId w15:val="{3707AD63-06E5-44F4-9363-053B7618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FA6"/>
    <w:pPr>
      <w:ind w:left="720"/>
      <w:contextualSpacing/>
    </w:pPr>
  </w:style>
  <w:style w:type="character" w:styleId="a4">
    <w:name w:val="Strong"/>
    <w:basedOn w:val="a0"/>
    <w:uiPriority w:val="22"/>
    <w:qFormat/>
    <w:rsid w:val="006613D6"/>
    <w:rPr>
      <w:b/>
      <w:bCs/>
    </w:rPr>
  </w:style>
  <w:style w:type="paragraph" w:customStyle="1" w:styleId="ConsPlusNormal">
    <w:name w:val="ConsPlusNormal"/>
    <w:rsid w:val="00766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607E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uiPriority w:val="99"/>
    <w:unhideWhenUsed/>
    <w:rsid w:val="00806F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0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7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7424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2423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43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435EB"/>
  </w:style>
  <w:style w:type="paragraph" w:styleId="ac">
    <w:name w:val="footer"/>
    <w:basedOn w:val="a"/>
    <w:link w:val="ad"/>
    <w:uiPriority w:val="99"/>
    <w:unhideWhenUsed/>
    <w:rsid w:val="00043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3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18</cp:revision>
  <cp:lastPrinted>2021-04-08T08:09:00Z</cp:lastPrinted>
  <dcterms:created xsi:type="dcterms:W3CDTF">2024-03-12T12:40:00Z</dcterms:created>
  <dcterms:modified xsi:type="dcterms:W3CDTF">2024-03-29T08:58:00Z</dcterms:modified>
</cp:coreProperties>
</file>