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438" w:rsidRDefault="00CD4B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результатах мониторинга реализации </w:t>
      </w:r>
    </w:p>
    <w:p w:rsidR="00166438" w:rsidRDefault="00CD4B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бюджетного прогноза Минераловодского городского округа Ставропольского края на долгосрочный период за 2023 год</w:t>
      </w:r>
    </w:p>
    <w:p w:rsidR="00166438" w:rsidRDefault="0016643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66438" w:rsidRDefault="00CD4B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10 Порядка разработки и утверждения бюджетного прогноза Минераловодского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на долгосрочный период, утвержденного постановлением администрации Минераловодского муниципального округа Ставропольского края от 09 февраля 2024 года № 260, финансовым управлением администрации Минераловодского м</w:t>
      </w:r>
      <w:r>
        <w:rPr>
          <w:rFonts w:ascii="Times New Roman" w:hAnsi="Times New Roman" w:cs="Times New Roman"/>
          <w:sz w:val="28"/>
          <w:szCs w:val="28"/>
        </w:rPr>
        <w:t>униципального округа Ставропольского края проведен мониторинг реализации бюджетного прогноза Минераловодского городского округа Ставропольского края на долгосрочный период за 2023 год на основе данных отчета об исполнении бюджета Минераловодского городског</w:t>
      </w:r>
      <w:r>
        <w:rPr>
          <w:rFonts w:ascii="Times New Roman" w:hAnsi="Times New Roman" w:cs="Times New Roman"/>
          <w:sz w:val="28"/>
          <w:szCs w:val="28"/>
        </w:rPr>
        <w:t>о округа Ставропольского края.</w:t>
      </w:r>
    </w:p>
    <w:p w:rsidR="00166438" w:rsidRDefault="00166438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166438" w:rsidRDefault="00CD4B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степени достижения </w:t>
      </w:r>
      <w:r>
        <w:rPr>
          <w:rFonts w:ascii="Times New Roman" w:hAnsi="Times New Roman" w:cs="Times New Roman"/>
          <w:sz w:val="28"/>
          <w:szCs w:val="28"/>
        </w:rPr>
        <w:br/>
        <w:t>показателей бюджетного прогноза Минераловодского городского округа Ставропольского края на долгосрочный период в 2023 году</w:t>
      </w:r>
    </w:p>
    <w:p w:rsidR="00166438" w:rsidRDefault="00CD4BB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Style w:val="a5"/>
        <w:tblW w:w="974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1"/>
        <w:gridCol w:w="3236"/>
        <w:gridCol w:w="1666"/>
        <w:gridCol w:w="1522"/>
        <w:gridCol w:w="1495"/>
        <w:gridCol w:w="1079"/>
      </w:tblGrid>
      <w:tr w:rsidR="00166438">
        <w:trPr>
          <w:trHeight w:val="654"/>
          <w:jc w:val="center"/>
        </w:trPr>
        <w:tc>
          <w:tcPr>
            <w:tcW w:w="751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36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666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прогноз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(в редакции от 14.02.2023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2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об исполнении бюджета за 2023 г.</w:t>
            </w:r>
          </w:p>
        </w:tc>
        <w:tc>
          <w:tcPr>
            <w:tcW w:w="1495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  <w:tc>
          <w:tcPr>
            <w:tcW w:w="1079" w:type="dxa"/>
            <w:vAlign w:val="center"/>
          </w:tcPr>
          <w:p w:rsidR="00166438" w:rsidRDefault="001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66438">
        <w:trPr>
          <w:jc w:val="center"/>
        </w:trPr>
        <w:tc>
          <w:tcPr>
            <w:tcW w:w="751" w:type="dxa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79" w:type="dxa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6438">
        <w:trPr>
          <w:jc w:val="center"/>
        </w:trPr>
        <w:tc>
          <w:tcPr>
            <w:tcW w:w="9749" w:type="dxa"/>
            <w:gridSpan w:val="6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бюджета Минераловодского городского округа Ставропольского края</w:t>
            </w:r>
          </w:p>
        </w:tc>
      </w:tr>
      <w:tr w:rsidR="00166438">
        <w:trPr>
          <w:jc w:val="center"/>
        </w:trPr>
        <w:tc>
          <w:tcPr>
            <w:tcW w:w="751" w:type="dxa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36" w:type="dxa"/>
          </w:tcPr>
          <w:p w:rsidR="00166438" w:rsidRDefault="00CD4B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доходов</w:t>
            </w:r>
          </w:p>
        </w:tc>
        <w:tc>
          <w:tcPr>
            <w:tcW w:w="1666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3795591,27</w:t>
            </w:r>
          </w:p>
        </w:tc>
        <w:tc>
          <w:tcPr>
            <w:tcW w:w="1522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4447422,04</w:t>
            </w:r>
          </w:p>
        </w:tc>
        <w:tc>
          <w:tcPr>
            <w:tcW w:w="1495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651830,77</w:t>
            </w:r>
          </w:p>
        </w:tc>
        <w:tc>
          <w:tcPr>
            <w:tcW w:w="1079" w:type="dxa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</w:tr>
      <w:tr w:rsidR="00166438">
        <w:trPr>
          <w:jc w:val="center"/>
        </w:trPr>
        <w:tc>
          <w:tcPr>
            <w:tcW w:w="751" w:type="dxa"/>
            <w:vAlign w:val="center"/>
          </w:tcPr>
          <w:p w:rsidR="00166438" w:rsidRDefault="001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166438" w:rsidRDefault="00CD4B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66" w:type="dxa"/>
            <w:vAlign w:val="center"/>
          </w:tcPr>
          <w:p w:rsidR="00166438" w:rsidRDefault="001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166438" w:rsidRDefault="001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166438" w:rsidRDefault="001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166438" w:rsidRDefault="001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38">
        <w:trPr>
          <w:jc w:val="center"/>
        </w:trPr>
        <w:tc>
          <w:tcPr>
            <w:tcW w:w="751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236" w:type="dxa"/>
          </w:tcPr>
          <w:p w:rsidR="00166438" w:rsidRDefault="00CD4B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неналоговые доходы всего:</w:t>
            </w:r>
          </w:p>
        </w:tc>
        <w:tc>
          <w:tcPr>
            <w:tcW w:w="1666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1077349,27</w:t>
            </w:r>
          </w:p>
        </w:tc>
        <w:tc>
          <w:tcPr>
            <w:tcW w:w="1522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1184106,31</w:t>
            </w:r>
          </w:p>
        </w:tc>
        <w:tc>
          <w:tcPr>
            <w:tcW w:w="1495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106757,04</w:t>
            </w:r>
          </w:p>
        </w:tc>
        <w:tc>
          <w:tcPr>
            <w:tcW w:w="1079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109,9</w:t>
            </w:r>
          </w:p>
        </w:tc>
      </w:tr>
      <w:tr w:rsidR="00166438">
        <w:trPr>
          <w:jc w:val="center"/>
        </w:trPr>
        <w:tc>
          <w:tcPr>
            <w:tcW w:w="751" w:type="dxa"/>
          </w:tcPr>
          <w:p w:rsidR="00166438" w:rsidRDefault="001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166438" w:rsidRDefault="00CD4B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66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534925,89</w:t>
            </w:r>
          </w:p>
        </w:tc>
        <w:tc>
          <w:tcPr>
            <w:tcW w:w="1522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617748,10</w:t>
            </w:r>
          </w:p>
        </w:tc>
        <w:tc>
          <w:tcPr>
            <w:tcW w:w="1495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82822,21</w:t>
            </w:r>
          </w:p>
        </w:tc>
        <w:tc>
          <w:tcPr>
            <w:tcW w:w="1079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115,5</w:t>
            </w:r>
          </w:p>
        </w:tc>
      </w:tr>
      <w:tr w:rsidR="00166438">
        <w:trPr>
          <w:jc w:val="center"/>
        </w:trPr>
        <w:tc>
          <w:tcPr>
            <w:tcW w:w="751" w:type="dxa"/>
          </w:tcPr>
          <w:p w:rsidR="00166438" w:rsidRDefault="001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166438" w:rsidRDefault="00CD4B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666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94491,55</w:t>
            </w:r>
          </w:p>
        </w:tc>
        <w:tc>
          <w:tcPr>
            <w:tcW w:w="1522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89592,46</w:t>
            </w:r>
          </w:p>
        </w:tc>
        <w:tc>
          <w:tcPr>
            <w:tcW w:w="1495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-4899,09</w:t>
            </w:r>
          </w:p>
        </w:tc>
        <w:tc>
          <w:tcPr>
            <w:tcW w:w="1079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94,8</w:t>
            </w:r>
          </w:p>
        </w:tc>
      </w:tr>
      <w:tr w:rsidR="00166438">
        <w:trPr>
          <w:jc w:val="center"/>
        </w:trPr>
        <w:tc>
          <w:tcPr>
            <w:tcW w:w="751" w:type="dxa"/>
          </w:tcPr>
          <w:p w:rsidR="00166438" w:rsidRDefault="001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166438" w:rsidRDefault="00CD4B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666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236827,00</w:t>
            </w:r>
          </w:p>
        </w:tc>
        <w:tc>
          <w:tcPr>
            <w:tcW w:w="1522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227855,32</w:t>
            </w:r>
          </w:p>
        </w:tc>
        <w:tc>
          <w:tcPr>
            <w:tcW w:w="1495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-8971,68</w:t>
            </w:r>
          </w:p>
        </w:tc>
        <w:tc>
          <w:tcPr>
            <w:tcW w:w="1079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96,2</w:t>
            </w:r>
          </w:p>
        </w:tc>
      </w:tr>
      <w:tr w:rsidR="00166438">
        <w:trPr>
          <w:jc w:val="center"/>
        </w:trPr>
        <w:tc>
          <w:tcPr>
            <w:tcW w:w="751" w:type="dxa"/>
          </w:tcPr>
          <w:p w:rsidR="00166438" w:rsidRDefault="001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166438" w:rsidRDefault="00CD4B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666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150695,72</w:t>
            </w:r>
          </w:p>
        </w:tc>
        <w:tc>
          <w:tcPr>
            <w:tcW w:w="1522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182361,41</w:t>
            </w:r>
          </w:p>
        </w:tc>
        <w:tc>
          <w:tcPr>
            <w:tcW w:w="1495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31665,69</w:t>
            </w:r>
          </w:p>
        </w:tc>
        <w:tc>
          <w:tcPr>
            <w:tcW w:w="1079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121,0</w:t>
            </w:r>
          </w:p>
        </w:tc>
      </w:tr>
      <w:tr w:rsidR="00166438">
        <w:trPr>
          <w:jc w:val="center"/>
        </w:trPr>
        <w:tc>
          <w:tcPr>
            <w:tcW w:w="751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236" w:type="dxa"/>
          </w:tcPr>
          <w:p w:rsidR="00166438" w:rsidRDefault="00CD4B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66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2718242,00</w:t>
            </w:r>
          </w:p>
        </w:tc>
        <w:tc>
          <w:tcPr>
            <w:tcW w:w="1522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3263315,73</w:t>
            </w:r>
          </w:p>
        </w:tc>
        <w:tc>
          <w:tcPr>
            <w:tcW w:w="1495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545073,73</w:t>
            </w:r>
          </w:p>
        </w:tc>
        <w:tc>
          <w:tcPr>
            <w:tcW w:w="1079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166438">
        <w:trPr>
          <w:jc w:val="center"/>
        </w:trPr>
        <w:tc>
          <w:tcPr>
            <w:tcW w:w="751" w:type="dxa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36" w:type="dxa"/>
          </w:tcPr>
          <w:p w:rsidR="00166438" w:rsidRDefault="00CD4B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расходов</w:t>
            </w:r>
          </w:p>
        </w:tc>
        <w:tc>
          <w:tcPr>
            <w:tcW w:w="1666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4124128,46</w:t>
            </w:r>
          </w:p>
        </w:tc>
        <w:tc>
          <w:tcPr>
            <w:tcW w:w="1522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4496718,26</w:t>
            </w:r>
          </w:p>
        </w:tc>
        <w:tc>
          <w:tcPr>
            <w:tcW w:w="1495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372589,80</w:t>
            </w:r>
          </w:p>
        </w:tc>
        <w:tc>
          <w:tcPr>
            <w:tcW w:w="1079" w:type="dxa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109,03</w:t>
            </w:r>
          </w:p>
        </w:tc>
      </w:tr>
      <w:tr w:rsidR="00166438">
        <w:trPr>
          <w:jc w:val="center"/>
        </w:trPr>
        <w:tc>
          <w:tcPr>
            <w:tcW w:w="751" w:type="dxa"/>
          </w:tcPr>
          <w:p w:rsidR="00166438" w:rsidRDefault="001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166438" w:rsidRDefault="00CD4B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66" w:type="dxa"/>
            <w:vAlign w:val="center"/>
          </w:tcPr>
          <w:p w:rsidR="00166438" w:rsidRDefault="001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166438" w:rsidRDefault="001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166438" w:rsidRDefault="001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166438" w:rsidRDefault="001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38">
        <w:trPr>
          <w:jc w:val="center"/>
        </w:trPr>
        <w:tc>
          <w:tcPr>
            <w:tcW w:w="751" w:type="dxa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236" w:type="dxa"/>
          </w:tcPr>
          <w:p w:rsidR="00166438" w:rsidRDefault="00CD4B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66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358739,75</w:t>
            </w:r>
          </w:p>
        </w:tc>
        <w:tc>
          <w:tcPr>
            <w:tcW w:w="1522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347853,34</w:t>
            </w:r>
          </w:p>
        </w:tc>
        <w:tc>
          <w:tcPr>
            <w:tcW w:w="1495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-10886,41</w:t>
            </w:r>
          </w:p>
        </w:tc>
        <w:tc>
          <w:tcPr>
            <w:tcW w:w="1079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96,97</w:t>
            </w:r>
          </w:p>
        </w:tc>
      </w:tr>
      <w:tr w:rsidR="00166438">
        <w:trPr>
          <w:jc w:val="center"/>
        </w:trPr>
        <w:tc>
          <w:tcPr>
            <w:tcW w:w="751" w:type="dxa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3236" w:type="dxa"/>
          </w:tcPr>
          <w:p w:rsidR="00166438" w:rsidRDefault="00CD4B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</w:t>
            </w:r>
          </w:p>
        </w:tc>
        <w:tc>
          <w:tcPr>
            <w:tcW w:w="1666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27181,82</w:t>
            </w:r>
          </w:p>
        </w:tc>
        <w:tc>
          <w:tcPr>
            <w:tcW w:w="1522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26962,46</w:t>
            </w:r>
          </w:p>
        </w:tc>
        <w:tc>
          <w:tcPr>
            <w:tcW w:w="1495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-219,36</w:t>
            </w:r>
          </w:p>
        </w:tc>
        <w:tc>
          <w:tcPr>
            <w:tcW w:w="1079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99,19</w:t>
            </w:r>
          </w:p>
        </w:tc>
      </w:tr>
      <w:tr w:rsidR="00166438">
        <w:trPr>
          <w:jc w:val="center"/>
        </w:trPr>
        <w:tc>
          <w:tcPr>
            <w:tcW w:w="751" w:type="dxa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236" w:type="dxa"/>
          </w:tcPr>
          <w:p w:rsidR="00166438" w:rsidRDefault="00CD4B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66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56303,53</w:t>
            </w:r>
          </w:p>
        </w:tc>
        <w:tc>
          <w:tcPr>
            <w:tcW w:w="1522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238183,12</w:t>
            </w:r>
          </w:p>
        </w:tc>
        <w:tc>
          <w:tcPr>
            <w:tcW w:w="1495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181879,59</w:t>
            </w:r>
          </w:p>
        </w:tc>
        <w:tc>
          <w:tcPr>
            <w:tcW w:w="1079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423,03</w:t>
            </w:r>
          </w:p>
        </w:tc>
      </w:tr>
      <w:tr w:rsidR="00166438">
        <w:trPr>
          <w:jc w:val="center"/>
        </w:trPr>
        <w:tc>
          <w:tcPr>
            <w:tcW w:w="751" w:type="dxa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236" w:type="dxa"/>
          </w:tcPr>
          <w:p w:rsidR="00166438" w:rsidRDefault="00CD4B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66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461990,39</w:t>
            </w:r>
          </w:p>
        </w:tc>
        <w:tc>
          <w:tcPr>
            <w:tcW w:w="1522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562750,37</w:t>
            </w:r>
          </w:p>
        </w:tc>
        <w:tc>
          <w:tcPr>
            <w:tcW w:w="1495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100760,01</w:t>
            </w:r>
          </w:p>
        </w:tc>
        <w:tc>
          <w:tcPr>
            <w:tcW w:w="1079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121,81</w:t>
            </w:r>
          </w:p>
        </w:tc>
      </w:tr>
      <w:tr w:rsidR="00166438">
        <w:trPr>
          <w:jc w:val="center"/>
        </w:trPr>
        <w:tc>
          <w:tcPr>
            <w:tcW w:w="751" w:type="dxa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236" w:type="dxa"/>
          </w:tcPr>
          <w:p w:rsidR="00166438" w:rsidRDefault="00CD4B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66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1951461,41</w:t>
            </w:r>
          </w:p>
        </w:tc>
        <w:tc>
          <w:tcPr>
            <w:tcW w:w="1522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2065646,92</w:t>
            </w:r>
          </w:p>
        </w:tc>
        <w:tc>
          <w:tcPr>
            <w:tcW w:w="1495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114185,51</w:t>
            </w:r>
          </w:p>
        </w:tc>
        <w:tc>
          <w:tcPr>
            <w:tcW w:w="1079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105,85</w:t>
            </w:r>
          </w:p>
        </w:tc>
      </w:tr>
      <w:tr w:rsidR="00166438">
        <w:trPr>
          <w:jc w:val="center"/>
        </w:trPr>
        <w:tc>
          <w:tcPr>
            <w:tcW w:w="751" w:type="dxa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236" w:type="dxa"/>
          </w:tcPr>
          <w:p w:rsidR="00166438" w:rsidRDefault="00CD4B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66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220201,42</w:t>
            </w:r>
          </w:p>
        </w:tc>
        <w:tc>
          <w:tcPr>
            <w:tcW w:w="1522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226322,11</w:t>
            </w:r>
          </w:p>
        </w:tc>
        <w:tc>
          <w:tcPr>
            <w:tcW w:w="1495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6120,69</w:t>
            </w:r>
          </w:p>
        </w:tc>
        <w:tc>
          <w:tcPr>
            <w:tcW w:w="1079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102,78</w:t>
            </w:r>
          </w:p>
        </w:tc>
      </w:tr>
      <w:tr w:rsidR="00166438">
        <w:trPr>
          <w:jc w:val="center"/>
        </w:trPr>
        <w:tc>
          <w:tcPr>
            <w:tcW w:w="751" w:type="dxa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236" w:type="dxa"/>
          </w:tcPr>
          <w:p w:rsidR="00166438" w:rsidRDefault="00CD4B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66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1021305,67</w:t>
            </w:r>
          </w:p>
        </w:tc>
        <w:tc>
          <w:tcPr>
            <w:tcW w:w="1522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995510,61</w:t>
            </w:r>
          </w:p>
        </w:tc>
        <w:tc>
          <w:tcPr>
            <w:tcW w:w="1495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-25795,06</w:t>
            </w:r>
          </w:p>
        </w:tc>
        <w:tc>
          <w:tcPr>
            <w:tcW w:w="1079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97,47</w:t>
            </w:r>
          </w:p>
        </w:tc>
      </w:tr>
      <w:tr w:rsidR="00166438">
        <w:trPr>
          <w:jc w:val="center"/>
        </w:trPr>
        <w:tc>
          <w:tcPr>
            <w:tcW w:w="751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3236" w:type="dxa"/>
          </w:tcPr>
          <w:p w:rsidR="00166438" w:rsidRDefault="00CD4B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666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19476,58</w:t>
            </w:r>
          </w:p>
        </w:tc>
        <w:tc>
          <w:tcPr>
            <w:tcW w:w="1522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32425,82</w:t>
            </w:r>
          </w:p>
        </w:tc>
        <w:tc>
          <w:tcPr>
            <w:tcW w:w="1495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12949,24</w:t>
            </w:r>
          </w:p>
        </w:tc>
        <w:tc>
          <w:tcPr>
            <w:tcW w:w="1079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166,49</w:t>
            </w:r>
          </w:p>
        </w:tc>
      </w:tr>
      <w:tr w:rsidR="00166438">
        <w:trPr>
          <w:jc w:val="center"/>
        </w:trPr>
        <w:tc>
          <w:tcPr>
            <w:tcW w:w="751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3236" w:type="dxa"/>
          </w:tcPr>
          <w:p w:rsidR="00166438" w:rsidRDefault="00CD4B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муниципального долга</w:t>
            </w:r>
          </w:p>
        </w:tc>
        <w:tc>
          <w:tcPr>
            <w:tcW w:w="1666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7467,89</w:t>
            </w:r>
          </w:p>
        </w:tc>
        <w:tc>
          <w:tcPr>
            <w:tcW w:w="1522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1063,51</w:t>
            </w:r>
          </w:p>
        </w:tc>
        <w:tc>
          <w:tcPr>
            <w:tcW w:w="1495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-6404,38</w:t>
            </w:r>
          </w:p>
        </w:tc>
        <w:tc>
          <w:tcPr>
            <w:tcW w:w="1079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14,24</w:t>
            </w:r>
          </w:p>
        </w:tc>
      </w:tr>
      <w:tr w:rsidR="00166438">
        <w:trPr>
          <w:jc w:val="center"/>
        </w:trPr>
        <w:tc>
          <w:tcPr>
            <w:tcW w:w="751" w:type="dxa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36" w:type="dxa"/>
          </w:tcPr>
          <w:p w:rsidR="00166438" w:rsidRDefault="00CD4B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Дефицит/профицит </w:t>
            </w:r>
          </w:p>
        </w:tc>
        <w:tc>
          <w:tcPr>
            <w:tcW w:w="1666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-328537,19</w:t>
            </w:r>
          </w:p>
        </w:tc>
        <w:tc>
          <w:tcPr>
            <w:tcW w:w="1522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-49296,22</w:t>
            </w:r>
          </w:p>
        </w:tc>
        <w:tc>
          <w:tcPr>
            <w:tcW w:w="1495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-279240,97</w:t>
            </w:r>
          </w:p>
        </w:tc>
        <w:tc>
          <w:tcPr>
            <w:tcW w:w="1079" w:type="dxa"/>
          </w:tcPr>
          <w:p w:rsidR="00166438" w:rsidRDefault="001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38">
        <w:trPr>
          <w:jc w:val="center"/>
        </w:trPr>
        <w:tc>
          <w:tcPr>
            <w:tcW w:w="751" w:type="dxa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36" w:type="dxa"/>
          </w:tcPr>
          <w:p w:rsidR="00166438" w:rsidRDefault="00CD4B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долг</w:t>
            </w:r>
          </w:p>
        </w:tc>
        <w:tc>
          <w:tcPr>
            <w:tcW w:w="1666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367616,20</w:t>
            </w:r>
          </w:p>
        </w:tc>
        <w:tc>
          <w:tcPr>
            <w:tcW w:w="1522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287616,20</w:t>
            </w:r>
          </w:p>
        </w:tc>
        <w:tc>
          <w:tcPr>
            <w:tcW w:w="1495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-80000,0</w:t>
            </w:r>
          </w:p>
        </w:tc>
        <w:tc>
          <w:tcPr>
            <w:tcW w:w="1079" w:type="dxa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78,24</w:t>
            </w:r>
          </w:p>
        </w:tc>
      </w:tr>
      <w:tr w:rsidR="00166438">
        <w:trPr>
          <w:jc w:val="center"/>
        </w:trPr>
        <w:tc>
          <w:tcPr>
            <w:tcW w:w="9749" w:type="dxa"/>
            <w:gridSpan w:val="6"/>
          </w:tcPr>
          <w:p w:rsidR="00166438" w:rsidRDefault="00CD4B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финансового обеспечения муниципальных программ Минераловодского 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 на период их действия</w:t>
            </w:r>
          </w:p>
        </w:tc>
      </w:tr>
      <w:tr w:rsidR="00166438">
        <w:trPr>
          <w:jc w:val="center"/>
        </w:trPr>
        <w:tc>
          <w:tcPr>
            <w:tcW w:w="751" w:type="dxa"/>
          </w:tcPr>
          <w:p w:rsidR="00166438" w:rsidRDefault="001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166438" w:rsidRDefault="00CD4B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в рамках муниципальных программ Минераловодского городского округа, всего</w:t>
            </w:r>
          </w:p>
        </w:tc>
        <w:tc>
          <w:tcPr>
            <w:tcW w:w="1666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4124128,46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4393506,10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269377,64</w:t>
            </w:r>
          </w:p>
        </w:tc>
        <w:tc>
          <w:tcPr>
            <w:tcW w:w="1079" w:type="dxa"/>
            <w:vAlign w:val="center"/>
          </w:tcPr>
          <w:p w:rsidR="00166438" w:rsidRDefault="00CD4B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106,53</w:t>
            </w:r>
          </w:p>
        </w:tc>
      </w:tr>
    </w:tbl>
    <w:p w:rsidR="00166438" w:rsidRDefault="00166438">
      <w:pPr>
        <w:tabs>
          <w:tab w:val="left" w:pos="709"/>
        </w:tabs>
        <w:jc w:val="both"/>
        <w:rPr>
          <w:sz w:val="28"/>
          <w:szCs w:val="28"/>
        </w:rPr>
      </w:pPr>
    </w:p>
    <w:p w:rsidR="00166438" w:rsidRDefault="00CD4B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данным финансовой отчетности за 2023 год общий объем поступивших в  бюджет Минераловодского </w:t>
      </w:r>
      <w:r>
        <w:rPr>
          <w:rFonts w:ascii="Times New Roman" w:hAnsi="Times New Roman" w:cs="Times New Roman"/>
          <w:sz w:val="28"/>
          <w:szCs w:val="28"/>
        </w:rPr>
        <w:t>городского округа Ставропольского края (далее – местный бюджет) доходов составляет 4447422,04 тыс. рублей, что выше на 17,2 % или на 651830,77 тыс. рублей  показателей бюджетного прогноза по доходам местного бюджета на 2023 год.</w:t>
      </w:r>
    </w:p>
    <w:p w:rsidR="00166438" w:rsidRDefault="00CD4B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Рост доходов местного бюдж</w:t>
      </w:r>
      <w:r>
        <w:rPr>
          <w:rFonts w:ascii="Times New Roman" w:hAnsi="Times New Roman" w:cs="Times New Roman"/>
          <w:sz w:val="28"/>
          <w:szCs w:val="28"/>
        </w:rPr>
        <w:t>ета в сравнении с прогнозными показателями обусловлен:</w:t>
      </w:r>
    </w:p>
    <w:p w:rsidR="00166438" w:rsidRDefault="00CD4B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Ростом поступлений налоговых и неналоговых доходов в местный бюджет на 106757,04 тыс. рублей или на 9,9 % к прогнозным показателям в результате:</w:t>
      </w:r>
    </w:p>
    <w:p w:rsidR="00166438" w:rsidRDefault="00CD4B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/>
          <w:spacing w:val="-4"/>
          <w:sz w:val="28"/>
          <w:szCs w:val="28"/>
        </w:rPr>
        <w:t>роста налогооблагаемой базы по налогу на доходы физ</w:t>
      </w:r>
      <w:r>
        <w:rPr>
          <w:rFonts w:ascii="Times New Roman" w:hAnsi="Times New Roman"/>
          <w:spacing w:val="-4"/>
          <w:sz w:val="28"/>
          <w:szCs w:val="28"/>
        </w:rPr>
        <w:t>ических 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 связи с индексацией с 01.10.2023 заработной платы работников бюджетной сферы, реализацией на территории округа инфраструктурных проектов, вводом новых производственных мощностей и реконструкцией хозяйствующих субъектов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6438" w:rsidRDefault="00CD4B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-разовых поступлений </w:t>
      </w:r>
      <w:r>
        <w:rPr>
          <w:rFonts w:ascii="Times New Roman" w:hAnsi="Times New Roman" w:cs="Times New Roman"/>
          <w:sz w:val="28"/>
          <w:szCs w:val="28"/>
        </w:rPr>
        <w:t>от реализации отдельных объектов недвижимости;</w:t>
      </w:r>
    </w:p>
    <w:p w:rsidR="00166438" w:rsidRDefault="00CD4B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-непрогнозируемого поступления штрафных санкций; </w:t>
      </w:r>
    </w:p>
    <w:p w:rsidR="00166438" w:rsidRDefault="00CD4B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-дополнительных мер, направленных на повышение поступлений налоговых и неналоговых доходов в соответствии с утвержденным Планом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мероприятий по росту доходов, о</w:t>
      </w:r>
      <w:r>
        <w:rPr>
          <w:rFonts w:ascii="Times New Roman" w:hAnsi="Times New Roman" w:cs="Times New Roman"/>
          <w:sz w:val="28"/>
          <w:szCs w:val="28"/>
        </w:rPr>
        <w:t>птимизации расходов и сокращению муниципального долга Минераловодского городского округа Ставропольского края на 2023-2025 годы.</w:t>
      </w:r>
    </w:p>
    <w:p w:rsidR="00166438" w:rsidRDefault="00CD4B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Увеличением объема безвозмездных поступлений на 545073,73 тыс. рублей или на 20 % к прогнозным показателям, в том числе:</w:t>
      </w:r>
    </w:p>
    <w:p w:rsidR="00166438" w:rsidRDefault="00CD4B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-субсидий на осуществление дорожной деятельности, переселение граждан из аварийного жилищного фонда, на реализацию мероприятий по модернизации школьных систем образования;</w:t>
      </w:r>
    </w:p>
    <w:p w:rsidR="00166438" w:rsidRDefault="00CD4B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-иных межбюджетных трансфертов на повышение оплаты труда работников бюджетной сферы.</w:t>
      </w:r>
    </w:p>
    <w:p w:rsidR="00166438" w:rsidRDefault="00CD4B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местного бюджета в 2023 году исполнены в сумме 4496718,26 тыс. рублей, с ростом на 372589,80 тыс. рублей, или на 9,03 % к прогнозным плановым показателям местного бюджета (4124128,46 тыс. рублей). </w:t>
      </w:r>
    </w:p>
    <w:p w:rsidR="00166438" w:rsidRDefault="00CD4B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расходов местного бюджета в рамках муниципальных программ Минераловодского городского округа в сравнении с прогнозными показателями обусловлен ростом доходов, а также направлением на расходы остатков средств, сложившихся </w:t>
      </w:r>
      <w:r>
        <w:rPr>
          <w:rFonts w:ascii="Times New Roman" w:hAnsi="Times New Roman" w:cs="Times New Roman"/>
          <w:sz w:val="28"/>
          <w:szCs w:val="28"/>
        </w:rPr>
        <w:t>на едином с</w:t>
      </w:r>
      <w:r>
        <w:rPr>
          <w:rFonts w:ascii="Times New Roman" w:hAnsi="Times New Roman" w:cs="Times New Roman"/>
          <w:sz w:val="28"/>
          <w:szCs w:val="28"/>
        </w:rPr>
        <w:t xml:space="preserve">чете бюджета по состоянию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01.01.2023 года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438" w:rsidRDefault="00CD4B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2023 года дефицит местного бюджета сложился в сумме 49296,22 тыс. рублей.</w:t>
      </w:r>
    </w:p>
    <w:p w:rsidR="00166438" w:rsidRDefault="00CD4B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результатах мониторинга реализации бюджетного прогноза Минераловодского городского округа Ставропольского края на долгосрочный период за 2023 год под</w:t>
      </w:r>
      <w:r>
        <w:rPr>
          <w:rFonts w:ascii="Times New Roman" w:hAnsi="Times New Roman" w:cs="Times New Roman"/>
          <w:sz w:val="28"/>
          <w:szCs w:val="28"/>
        </w:rPr>
        <w:t>лежит размещению на официальном сайте Минераловодского муниципального округа Ставропольского края в информационно-телекоммуникационной сети «Интернет» в срок не позднее 30 апреля 2024 года.</w:t>
      </w:r>
    </w:p>
    <w:p w:rsidR="00166438" w:rsidRDefault="0016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438" w:rsidRDefault="0016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438" w:rsidRDefault="0016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438" w:rsidRDefault="00CD4B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начальника</w:t>
      </w:r>
    </w:p>
    <w:p w:rsidR="00166438" w:rsidRDefault="00CD4B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Ю. Ю. Солдаткина</w:t>
      </w:r>
    </w:p>
    <w:p w:rsidR="00166438" w:rsidRDefault="00166438"/>
    <w:sectPr w:rsidR="00166438">
      <w:headerReference w:type="default" r:id="rId6"/>
      <w:pgSz w:w="11905" w:h="16838"/>
      <w:pgMar w:top="1134" w:right="567" w:bottom="1134" w:left="1701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438" w:rsidRDefault="00CD4BBC">
      <w:r>
        <w:separator/>
      </w:r>
    </w:p>
  </w:endnote>
  <w:endnote w:type="continuationSeparator" w:id="0">
    <w:p w:rsidR="00166438" w:rsidRDefault="00CD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438" w:rsidRDefault="00CD4BBC">
      <w:r>
        <w:separator/>
      </w:r>
    </w:p>
  </w:footnote>
  <w:footnote w:type="continuationSeparator" w:id="0">
    <w:p w:rsidR="00166438" w:rsidRDefault="00CD4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4791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66438" w:rsidRDefault="00CD4BB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38"/>
    <w:rsid w:val="00166438"/>
    <w:rsid w:val="00CD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CD09"/>
  <w15:docId w15:val="{6BB930A7-0DC8-45BB-88BA-9C5D9869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Dohod3</dc:creator>
  <cp:keywords/>
  <dc:description/>
  <cp:lastModifiedBy>user</cp:lastModifiedBy>
  <cp:revision>63</cp:revision>
  <cp:lastPrinted>2024-04-22T08:53:00Z</cp:lastPrinted>
  <dcterms:created xsi:type="dcterms:W3CDTF">2020-02-14T09:03:00Z</dcterms:created>
  <dcterms:modified xsi:type="dcterms:W3CDTF">2024-04-27T12:42:00Z</dcterms:modified>
</cp:coreProperties>
</file>